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A4" w:rsidRPr="00F738A4" w:rsidRDefault="00F738A4" w:rsidP="00F738A4">
      <w:pPr>
        <w:spacing w:line="480" w:lineRule="auto"/>
        <w:ind w:firstLine="720"/>
        <w:jc w:val="center"/>
        <w:rPr>
          <w:u w:val="single"/>
        </w:rPr>
      </w:pPr>
      <w:bookmarkStart w:id="0" w:name="_GoBack"/>
      <w:bookmarkEnd w:id="0"/>
      <w:r w:rsidRPr="00F738A4">
        <w:rPr>
          <w:u w:val="single"/>
        </w:rPr>
        <w:t>Diversion Program vs. Mandated Treatment</w:t>
      </w:r>
    </w:p>
    <w:p w:rsidR="000170D5" w:rsidRDefault="008E2061" w:rsidP="00EF5C80">
      <w:pPr>
        <w:spacing w:line="480" w:lineRule="auto"/>
        <w:ind w:firstLine="720"/>
      </w:pPr>
      <w:r w:rsidRPr="008E2061">
        <w:t xml:space="preserve">I collected data from 128 domestic violence (DV) misdemeanor cases filed in 2006. </w:t>
      </w:r>
      <w:r>
        <w:t>For this study, a DV case is defined as a misdemeanor file that includes a charge of either domestic battery (DB), a violation of order of protection (VOP) charge, or both.</w:t>
      </w:r>
      <w:r w:rsidR="00F351BD">
        <w:t xml:space="preserve"> We used both Kankakee and McLean County so as to test the effectiveness of Kankakee County’s Diversion program and see if the effectiveness is related to the factors used to screen applicants for the program or to the dismissal of the DV charge. </w:t>
      </w:r>
    </w:p>
    <w:p w:rsidR="008E2061" w:rsidRDefault="008E2061" w:rsidP="00EF5C80">
      <w:pPr>
        <w:spacing w:line="480" w:lineRule="auto"/>
        <w:ind w:firstLine="720"/>
      </w:pPr>
      <w:r>
        <w:t>I gather</w:t>
      </w:r>
      <w:r w:rsidR="00D52E79">
        <w:t>ed information regarding</w:t>
      </w:r>
      <w:r>
        <w:t xml:space="preserve"> offenses charged and court activity from the Electronic Justice System (EJS). EJS is an integrated justice information system with software that permits data to be shared among McLean County’s various divisions of the justice system. </w:t>
      </w:r>
    </w:p>
    <w:p w:rsidR="008E2061" w:rsidRDefault="008E2061" w:rsidP="00EF5C80">
      <w:pPr>
        <w:spacing w:line="480" w:lineRule="auto"/>
        <w:ind w:firstLine="720"/>
      </w:pPr>
      <w:r>
        <w:t xml:space="preserve">Throughout the semester, I built off of the original data sheet created by the evidence collection team. I was under the supervision of Circuit Judge Charles Reynard and Professor Tom McClure. I recorded the information on an Excel spreadsheet. A graduate assistant of Prof. McClure transferred the data to an SPSS spreadsheet and I ran the statistical calculations. </w:t>
      </w:r>
    </w:p>
    <w:p w:rsidR="00D1756D" w:rsidRDefault="00D1756D" w:rsidP="00EF5C80">
      <w:pPr>
        <w:spacing w:line="480" w:lineRule="auto"/>
        <w:ind w:firstLine="720"/>
      </w:pPr>
      <w:r>
        <w:t xml:space="preserve">I compared the data that I completed for McLean County to the data that Prof. McClure gathered for Kankakee County. This report will present the following: (1) An explanation of the Diversion program; (2) Demographic characteristics of 2006 DV defendants; (3) recidivism rates of various classifications of DV defendants; (4) an analysis of whether the Diversion Program helps curb recidivism. </w:t>
      </w:r>
    </w:p>
    <w:p w:rsidR="00D1756D" w:rsidRDefault="00D1756D" w:rsidP="00EF5C80">
      <w:pPr>
        <w:spacing w:line="480" w:lineRule="auto"/>
        <w:ind w:firstLine="720"/>
      </w:pPr>
      <w:r>
        <w:t xml:space="preserve">The summaries and analysis presented in this report are based on all 268 cases examined. Some defendants were charged in two or more DV cases in 2006. We opted not to exclude any case from consideration. Although we acknowledge that this might skew the data, we were </w:t>
      </w:r>
      <w:r>
        <w:lastRenderedPageBreak/>
        <w:t xml:space="preserve">unable to devise an objective non-arbitrary way to determine which cases should remain and which cases should be eliminated from our reviews. </w:t>
      </w:r>
    </w:p>
    <w:p w:rsidR="00E45228" w:rsidRDefault="00E45228" w:rsidP="00EF5C80">
      <w:pPr>
        <w:spacing w:line="480" w:lineRule="auto"/>
      </w:pPr>
      <w:r>
        <w:t>DIVERSION PROGRAM</w:t>
      </w:r>
    </w:p>
    <w:p w:rsidR="00D1756D" w:rsidRDefault="00D1756D" w:rsidP="00EF5C80">
      <w:pPr>
        <w:spacing w:line="480" w:lineRule="auto"/>
        <w:ind w:firstLine="720"/>
      </w:pPr>
      <w:r>
        <w:t xml:space="preserve">Kankakee and McLean County both have treatment programs for DV offenders. Kankakee County has a Diversion program that was created by Judge John F. </w:t>
      </w:r>
      <w:proofErr w:type="spellStart"/>
      <w:r>
        <w:t>Michela</w:t>
      </w:r>
      <w:proofErr w:type="spellEnd"/>
      <w:r>
        <w:t>, Judge Clark E. Erickson</w:t>
      </w:r>
      <w:r w:rsidR="00095022">
        <w:t xml:space="preserve">, the Kankakee County State’s Attorney’s office, Harbor House, and the Duane Dean Prevention and Treatment Center, in an effort to control, if not end, the problem of domestic violence in Kankakee County. In the Diversion Program, the defendant agrees to plead guilty to the pending charges and undergo a drug and alcohol evaluation and treatment, as well as a 26-week Abuser Counseling Program in exchange for a dismissal or reduction of charges. The case is not actually dismissed until all of the requirements have been successfully completed. Anyone who is charged with a qualifying Class A misdemeanor, either Domestic Battery and/or Unlawful Violation of an Order of Protection, is eligible to participate in the program, providing that they do not have an extensive criminal record. The Court does not charge a fee for the program but the defendant is require to pay for the initial drug and alcohol assessment and the Inward Bound classes. The fee ranges from $5-$35 depending on the defendant’s income. If a defendant chooses to participate in the program </w:t>
      </w:r>
      <w:r w:rsidR="00D951FA">
        <w:t xml:space="preserve">they must sign a plea agreement. </w:t>
      </w:r>
      <w:r w:rsidR="00095022">
        <w:t>When the defendant’s case comes up for review, the Judge will be notified of their progress in the program. If the defendant is complying with the program, the case will be continued for another review, and eventually, upon successful completion, for</w:t>
      </w:r>
      <w:r w:rsidR="009727EC">
        <w:t xml:space="preserve"> gradation. If the defendant fails to comply with the plea agreement, the Judge has the option of revoking the plea agreement and entering a conviction for the offense(s) charges. Because the defendant has stipulated to the facts, they will not be entitled to a trial, a conviction will be entered and the defendant will be sentenced. The judge may also order the defendant to undergo the Abuser Counseling Program and drug and/or alcohol treatment as part of sentencing. </w:t>
      </w:r>
    </w:p>
    <w:p w:rsidR="00E45228" w:rsidRDefault="00E45228" w:rsidP="00EF5C80">
      <w:pPr>
        <w:spacing w:line="480" w:lineRule="auto"/>
      </w:pPr>
      <w:r>
        <w:t>DEMOGRAPHICS</w:t>
      </w:r>
    </w:p>
    <w:p w:rsidR="0045637A" w:rsidRPr="00D52E79" w:rsidRDefault="00D52E79" w:rsidP="00EF5C80">
      <w:pPr>
        <w:spacing w:line="480" w:lineRule="auto"/>
        <w:ind w:firstLine="720"/>
      </w:pPr>
      <w:r>
        <w:t>Out of 128 defendants, the average age</w:t>
      </w:r>
      <w:r w:rsidR="00E45228">
        <w:t xml:space="preserve"> in McLean County at the time of the case filing was 32, and the median was 29. The youngest offender was 17 and the oldest was 65. The most common age of the offenders was 29, 8 members of this age group faced DV charges. Chart 1 displays the frequency of ages.</w:t>
      </w:r>
    </w:p>
    <w:p w:rsidR="0045637A" w:rsidRPr="0045637A" w:rsidRDefault="00E45228" w:rsidP="00E45228">
      <w:pPr>
        <w:rPr>
          <w:b/>
        </w:rPr>
      </w:pPr>
      <w:r w:rsidRPr="0045637A">
        <w:rPr>
          <w:b/>
        </w:rPr>
        <w:t xml:space="preserve">Chart 1: Defendant’s age-McLean County </w:t>
      </w:r>
      <w:r w:rsidR="00D52E79" w:rsidRPr="00D52E79">
        <w:rPr>
          <w:b/>
          <w:noProof/>
        </w:rPr>
        <w:drawing>
          <wp:inline distT="0" distB="0" distL="0" distR="0">
            <wp:extent cx="5943600" cy="47625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4762500"/>
                    </a:xfrm>
                    <a:prstGeom prst="rect">
                      <a:avLst/>
                    </a:prstGeom>
                  </pic:spPr>
                </pic:pic>
              </a:graphicData>
            </a:graphic>
          </wp:inline>
        </w:drawing>
      </w:r>
    </w:p>
    <w:p w:rsidR="0045637A" w:rsidRDefault="0045637A" w:rsidP="00E45228"/>
    <w:p w:rsidR="00E45228" w:rsidRDefault="00E45228" w:rsidP="00E45228"/>
    <w:p w:rsidR="00D1756D" w:rsidRDefault="00D52E79" w:rsidP="00EF5C80">
      <w:pPr>
        <w:spacing w:line="480" w:lineRule="auto"/>
        <w:ind w:firstLine="720"/>
      </w:pPr>
      <w:r>
        <w:t>Out of 140 defendants, the average age</w:t>
      </w:r>
      <w:r w:rsidR="00E45228">
        <w:t xml:space="preserve"> in Kankakee County at the time of filing was 33 and the median was 30.5. The youngest offender was 17 and the oldest was 66. The most common age of the offenders was 22, 9 offenders from this age group were charged with Domestic violence. Chart 2 shows the age frequencies in Kankakee County.</w:t>
      </w:r>
    </w:p>
    <w:p w:rsidR="00E45228" w:rsidRPr="0054066A" w:rsidRDefault="00E45228">
      <w:pPr>
        <w:rPr>
          <w:b/>
        </w:rPr>
      </w:pPr>
      <w:r w:rsidRPr="0054066A">
        <w:rPr>
          <w:b/>
        </w:rPr>
        <w:t>Chart 2: Defendant’s age-Kankakee County</w:t>
      </w:r>
    </w:p>
    <w:p w:rsidR="00E45228" w:rsidRDefault="00F91EAC">
      <w:r w:rsidRPr="00F91EAC">
        <w:rPr>
          <w:noProof/>
        </w:rPr>
        <w:drawing>
          <wp:inline distT="0" distB="0" distL="0" distR="0">
            <wp:extent cx="5943600" cy="476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4762500"/>
                    </a:xfrm>
                    <a:prstGeom prst="rect">
                      <a:avLst/>
                    </a:prstGeom>
                  </pic:spPr>
                </pic:pic>
              </a:graphicData>
            </a:graphic>
          </wp:inline>
        </w:drawing>
      </w:r>
    </w:p>
    <w:p w:rsidR="00F91EAC" w:rsidRDefault="00F91EAC" w:rsidP="00EF5C80">
      <w:pPr>
        <w:spacing w:line="480" w:lineRule="auto"/>
        <w:ind w:firstLine="720"/>
      </w:pPr>
      <w:r>
        <w:t>About 80% of the defendants are mal</w:t>
      </w:r>
      <w:r w:rsidR="00D52E79">
        <w:t xml:space="preserve">e in McLean County and about 82.1% are male in Kankakee County. </w:t>
      </w:r>
    </w:p>
    <w:p w:rsidR="00F91EAC" w:rsidRDefault="00F91EAC"/>
    <w:p w:rsidR="0054066A" w:rsidRDefault="0054066A"/>
    <w:p w:rsidR="00F91EAC" w:rsidRDefault="0054066A" w:rsidP="00EF5C80">
      <w:pPr>
        <w:spacing w:line="480" w:lineRule="auto"/>
        <w:ind w:firstLine="720"/>
      </w:pPr>
      <w:r>
        <w:t>Almost 72% were indigent in McLean County, as evidence by the court’s appointment of a public defender. (</w:t>
      </w:r>
      <w:r>
        <w:rPr>
          <w:i/>
        </w:rPr>
        <w:t xml:space="preserve">See </w:t>
      </w:r>
      <w:r w:rsidR="00D52E79">
        <w:t>Table 1</w:t>
      </w:r>
      <w:r>
        <w:t>) Only 46% were indigent in Kankakee County, as also seen by the court’s appointment of a public defender. (</w:t>
      </w:r>
      <w:proofErr w:type="gramStart"/>
      <w:r>
        <w:rPr>
          <w:i/>
        </w:rPr>
        <w:t xml:space="preserve">See </w:t>
      </w:r>
      <w:r w:rsidR="00D52E79">
        <w:t xml:space="preserve"> Table</w:t>
      </w:r>
      <w:proofErr w:type="gramEnd"/>
      <w:r w:rsidR="00D52E79">
        <w:t xml:space="preserve"> 2</w:t>
      </w:r>
      <w:r>
        <w:t>)</w:t>
      </w:r>
    </w:p>
    <w:tbl>
      <w:tblPr>
        <w:tblW w:w="7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28"/>
        <w:gridCol w:w="1165"/>
        <w:gridCol w:w="1018"/>
        <w:gridCol w:w="1394"/>
        <w:gridCol w:w="1468"/>
      </w:tblGrid>
      <w:tr w:rsidR="00F91EAC" w:rsidRPr="0054066A" w:rsidTr="0054066A">
        <w:tc>
          <w:tcPr>
            <w:tcW w:w="7508" w:type="dxa"/>
            <w:gridSpan w:val="6"/>
            <w:tcBorders>
              <w:top w:val="nil"/>
              <w:left w:val="nil"/>
              <w:bottom w:val="nil"/>
              <w:right w:val="nil"/>
            </w:tcBorders>
            <w:shd w:val="clear" w:color="auto" w:fill="FFFFFF"/>
            <w:vAlign w:val="center"/>
          </w:tcPr>
          <w:p w:rsidR="00F91EAC" w:rsidRPr="0054066A" w:rsidRDefault="00D52E79" w:rsidP="00B0468D">
            <w:pPr>
              <w:autoSpaceDE w:val="0"/>
              <w:autoSpaceDN w:val="0"/>
              <w:adjustRightInd w:val="0"/>
              <w:spacing w:after="0" w:line="320" w:lineRule="atLeast"/>
              <w:ind w:left="60" w:right="60"/>
              <w:jc w:val="center"/>
              <w:rPr>
                <w:rFonts w:ascii="Arial" w:hAnsi="Arial" w:cs="Arial"/>
                <w:b/>
                <w:color w:val="000000"/>
                <w:sz w:val="18"/>
                <w:szCs w:val="18"/>
              </w:rPr>
            </w:pPr>
            <w:r>
              <w:rPr>
                <w:rFonts w:ascii="Arial" w:hAnsi="Arial" w:cs="Arial"/>
                <w:b/>
                <w:color w:val="000000"/>
                <w:sz w:val="18"/>
                <w:szCs w:val="18"/>
              </w:rPr>
              <w:t>Table 1</w:t>
            </w:r>
            <w:r w:rsidR="0054066A">
              <w:rPr>
                <w:rFonts w:ascii="Arial" w:hAnsi="Arial" w:cs="Arial"/>
                <w:b/>
                <w:color w:val="000000"/>
                <w:sz w:val="18"/>
                <w:szCs w:val="18"/>
              </w:rPr>
              <w:t>: Defendant’s legal representation-McLean County</w:t>
            </w:r>
          </w:p>
        </w:tc>
      </w:tr>
      <w:tr w:rsidR="00F91EAC" w:rsidRPr="009E094C" w:rsidTr="0054066A">
        <w:tc>
          <w:tcPr>
            <w:tcW w:w="24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F91EAC" w:rsidRPr="0054066A" w:rsidRDefault="00F91EAC" w:rsidP="00B0468D">
            <w:pPr>
              <w:autoSpaceDE w:val="0"/>
              <w:autoSpaceDN w:val="0"/>
              <w:adjustRightInd w:val="0"/>
              <w:spacing w:after="0" w:line="240" w:lineRule="auto"/>
              <w:jc w:val="center"/>
              <w:rPr>
                <w:rFonts w:cs="Times New Roman"/>
                <w:szCs w:val="24"/>
              </w:rPr>
            </w:pPr>
          </w:p>
        </w:tc>
        <w:tc>
          <w:tcPr>
            <w:tcW w:w="1165" w:type="dxa"/>
            <w:tcBorders>
              <w:top w:val="single" w:sz="16" w:space="0" w:color="000000"/>
              <w:left w:val="single" w:sz="16" w:space="0" w:color="000000"/>
              <w:bottom w:val="single" w:sz="16" w:space="0" w:color="000000"/>
            </w:tcBorders>
            <w:shd w:val="clear" w:color="auto" w:fill="FFFFFF"/>
            <w:vAlign w:val="bottom"/>
          </w:tcPr>
          <w:p w:rsidR="00F91EAC" w:rsidRPr="009E094C" w:rsidRDefault="00F91EAC" w:rsidP="00B0468D">
            <w:pPr>
              <w:autoSpaceDE w:val="0"/>
              <w:autoSpaceDN w:val="0"/>
              <w:adjustRightInd w:val="0"/>
              <w:spacing w:after="0" w:line="320" w:lineRule="atLeast"/>
              <w:ind w:left="60" w:right="60"/>
              <w:jc w:val="center"/>
              <w:rPr>
                <w:rFonts w:ascii="Arial" w:hAnsi="Arial" w:cs="Arial"/>
                <w:color w:val="000000"/>
                <w:sz w:val="18"/>
                <w:szCs w:val="18"/>
              </w:rPr>
            </w:pPr>
            <w:r w:rsidRPr="009E094C">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vAlign w:val="bottom"/>
          </w:tcPr>
          <w:p w:rsidR="00F91EAC" w:rsidRPr="009E094C" w:rsidRDefault="00F91EAC" w:rsidP="00B0468D">
            <w:pPr>
              <w:autoSpaceDE w:val="0"/>
              <w:autoSpaceDN w:val="0"/>
              <w:adjustRightInd w:val="0"/>
              <w:spacing w:after="0" w:line="320" w:lineRule="atLeast"/>
              <w:ind w:left="60" w:right="60"/>
              <w:jc w:val="center"/>
              <w:rPr>
                <w:rFonts w:ascii="Arial" w:hAnsi="Arial" w:cs="Arial"/>
                <w:color w:val="000000"/>
                <w:sz w:val="18"/>
                <w:szCs w:val="18"/>
              </w:rPr>
            </w:pPr>
            <w:r w:rsidRPr="009E094C">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vAlign w:val="bottom"/>
          </w:tcPr>
          <w:p w:rsidR="00F91EAC" w:rsidRPr="009E094C" w:rsidRDefault="00F91EAC" w:rsidP="00B0468D">
            <w:pPr>
              <w:autoSpaceDE w:val="0"/>
              <w:autoSpaceDN w:val="0"/>
              <w:adjustRightInd w:val="0"/>
              <w:spacing w:after="0" w:line="320" w:lineRule="atLeast"/>
              <w:ind w:left="60" w:right="60"/>
              <w:jc w:val="center"/>
              <w:rPr>
                <w:rFonts w:ascii="Arial" w:hAnsi="Arial" w:cs="Arial"/>
                <w:color w:val="000000"/>
                <w:sz w:val="18"/>
                <w:szCs w:val="18"/>
              </w:rPr>
            </w:pPr>
            <w:r w:rsidRPr="009E094C">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F91EAC" w:rsidRPr="009E094C" w:rsidRDefault="00F91EAC" w:rsidP="00B0468D">
            <w:pPr>
              <w:autoSpaceDE w:val="0"/>
              <w:autoSpaceDN w:val="0"/>
              <w:adjustRightInd w:val="0"/>
              <w:spacing w:after="0" w:line="320" w:lineRule="atLeast"/>
              <w:ind w:left="60" w:right="60"/>
              <w:jc w:val="center"/>
              <w:rPr>
                <w:rFonts w:ascii="Arial" w:hAnsi="Arial" w:cs="Arial"/>
                <w:color w:val="000000"/>
                <w:sz w:val="18"/>
                <w:szCs w:val="18"/>
              </w:rPr>
            </w:pPr>
            <w:r w:rsidRPr="009E094C">
              <w:rPr>
                <w:rFonts w:ascii="Arial" w:hAnsi="Arial" w:cs="Arial"/>
                <w:color w:val="000000"/>
                <w:sz w:val="18"/>
                <w:szCs w:val="18"/>
              </w:rPr>
              <w:t>Cumulative Percent</w:t>
            </w:r>
          </w:p>
        </w:tc>
      </w:tr>
      <w:tr w:rsidR="00F91EAC" w:rsidRPr="009E094C" w:rsidTr="0054066A">
        <w:tc>
          <w:tcPr>
            <w:tcW w:w="735" w:type="dxa"/>
            <w:vMerge w:val="restart"/>
            <w:tcBorders>
              <w:top w:val="single" w:sz="16" w:space="0" w:color="000000"/>
              <w:left w:val="single" w:sz="16" w:space="0" w:color="000000"/>
              <w:bottom w:val="single" w:sz="16" w:space="0" w:color="000000"/>
              <w:right w:val="nil"/>
            </w:tcBorders>
            <w:shd w:val="clear" w:color="auto" w:fill="FFFFFF"/>
          </w:tcPr>
          <w:p w:rsidR="00F91EAC" w:rsidRPr="009E094C" w:rsidRDefault="00F91EAC" w:rsidP="00B0468D">
            <w:pPr>
              <w:autoSpaceDE w:val="0"/>
              <w:autoSpaceDN w:val="0"/>
              <w:adjustRightInd w:val="0"/>
              <w:spacing w:after="0" w:line="320" w:lineRule="atLeast"/>
              <w:ind w:left="60" w:right="60"/>
              <w:rPr>
                <w:rFonts w:ascii="Arial" w:hAnsi="Arial" w:cs="Arial"/>
                <w:color w:val="000000"/>
                <w:sz w:val="18"/>
                <w:szCs w:val="18"/>
              </w:rPr>
            </w:pPr>
            <w:r w:rsidRPr="009E094C">
              <w:rPr>
                <w:rFonts w:ascii="Arial" w:hAnsi="Arial" w:cs="Arial"/>
                <w:color w:val="000000"/>
                <w:sz w:val="18"/>
                <w:szCs w:val="18"/>
              </w:rPr>
              <w:t>Valid</w:t>
            </w:r>
          </w:p>
        </w:tc>
        <w:tc>
          <w:tcPr>
            <w:tcW w:w="1728" w:type="dxa"/>
            <w:tcBorders>
              <w:top w:val="single" w:sz="16" w:space="0" w:color="000000"/>
              <w:left w:val="nil"/>
              <w:bottom w:val="nil"/>
              <w:right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rPr>
                <w:rFonts w:ascii="Arial" w:hAnsi="Arial" w:cs="Arial"/>
                <w:color w:val="000000"/>
                <w:sz w:val="18"/>
                <w:szCs w:val="18"/>
              </w:rPr>
            </w:pPr>
            <w:r w:rsidRPr="009E094C">
              <w:rPr>
                <w:rFonts w:ascii="Arial" w:hAnsi="Arial" w:cs="Arial"/>
                <w:color w:val="000000"/>
                <w:sz w:val="18"/>
                <w:szCs w:val="18"/>
              </w:rPr>
              <w:t>No PD Appointed</w:t>
            </w:r>
          </w:p>
        </w:tc>
        <w:tc>
          <w:tcPr>
            <w:tcW w:w="1165" w:type="dxa"/>
            <w:tcBorders>
              <w:top w:val="single" w:sz="16" w:space="0" w:color="000000"/>
              <w:left w:val="single" w:sz="16" w:space="0" w:color="000000"/>
              <w:bottom w:val="nil"/>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36</w:t>
            </w:r>
          </w:p>
        </w:tc>
        <w:tc>
          <w:tcPr>
            <w:tcW w:w="1018" w:type="dxa"/>
            <w:tcBorders>
              <w:top w:val="single" w:sz="16" w:space="0" w:color="000000"/>
              <w:bottom w:val="nil"/>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28.1</w:t>
            </w:r>
          </w:p>
        </w:tc>
        <w:tc>
          <w:tcPr>
            <w:tcW w:w="1394" w:type="dxa"/>
            <w:tcBorders>
              <w:top w:val="single" w:sz="16" w:space="0" w:color="000000"/>
              <w:bottom w:val="nil"/>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28.1</w:t>
            </w:r>
          </w:p>
        </w:tc>
        <w:tc>
          <w:tcPr>
            <w:tcW w:w="1468" w:type="dxa"/>
            <w:tcBorders>
              <w:top w:val="single" w:sz="16" w:space="0" w:color="000000"/>
              <w:bottom w:val="nil"/>
              <w:right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28.1</w:t>
            </w:r>
          </w:p>
        </w:tc>
      </w:tr>
      <w:tr w:rsidR="00F91EAC" w:rsidRPr="009E094C" w:rsidTr="0054066A">
        <w:tc>
          <w:tcPr>
            <w:tcW w:w="735" w:type="dxa"/>
            <w:vMerge/>
            <w:tcBorders>
              <w:top w:val="single" w:sz="16" w:space="0" w:color="000000"/>
              <w:left w:val="single" w:sz="16" w:space="0" w:color="000000"/>
              <w:bottom w:val="single" w:sz="16" w:space="0" w:color="000000"/>
              <w:right w:val="nil"/>
            </w:tcBorders>
            <w:shd w:val="clear" w:color="auto" w:fill="FFFFFF"/>
          </w:tcPr>
          <w:p w:rsidR="00F91EAC" w:rsidRPr="009E094C" w:rsidRDefault="00F91EAC" w:rsidP="00B0468D">
            <w:pPr>
              <w:autoSpaceDE w:val="0"/>
              <w:autoSpaceDN w:val="0"/>
              <w:adjustRightInd w:val="0"/>
              <w:spacing w:after="0" w:line="240" w:lineRule="auto"/>
              <w:rPr>
                <w:rFonts w:ascii="Arial" w:hAnsi="Arial" w:cs="Arial"/>
                <w:color w:val="000000"/>
                <w:sz w:val="18"/>
                <w:szCs w:val="18"/>
              </w:rPr>
            </w:pPr>
          </w:p>
        </w:tc>
        <w:tc>
          <w:tcPr>
            <w:tcW w:w="1728" w:type="dxa"/>
            <w:tcBorders>
              <w:top w:val="nil"/>
              <w:left w:val="nil"/>
              <w:bottom w:val="nil"/>
              <w:right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rPr>
                <w:rFonts w:ascii="Arial" w:hAnsi="Arial" w:cs="Arial"/>
                <w:color w:val="000000"/>
                <w:sz w:val="18"/>
                <w:szCs w:val="18"/>
              </w:rPr>
            </w:pPr>
            <w:r w:rsidRPr="009E094C">
              <w:rPr>
                <w:rFonts w:ascii="Arial" w:hAnsi="Arial" w:cs="Arial"/>
                <w:color w:val="000000"/>
                <w:sz w:val="18"/>
                <w:szCs w:val="18"/>
              </w:rPr>
              <w:t>PD Appointed</w:t>
            </w:r>
          </w:p>
        </w:tc>
        <w:tc>
          <w:tcPr>
            <w:tcW w:w="1165" w:type="dxa"/>
            <w:tcBorders>
              <w:top w:val="nil"/>
              <w:left w:val="single" w:sz="16" w:space="0" w:color="000000"/>
              <w:bottom w:val="nil"/>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92</w:t>
            </w:r>
          </w:p>
        </w:tc>
        <w:tc>
          <w:tcPr>
            <w:tcW w:w="1018" w:type="dxa"/>
            <w:tcBorders>
              <w:top w:val="nil"/>
              <w:bottom w:val="nil"/>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71.9</w:t>
            </w:r>
          </w:p>
        </w:tc>
        <w:tc>
          <w:tcPr>
            <w:tcW w:w="1394" w:type="dxa"/>
            <w:tcBorders>
              <w:top w:val="nil"/>
              <w:bottom w:val="nil"/>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71.9</w:t>
            </w:r>
          </w:p>
        </w:tc>
        <w:tc>
          <w:tcPr>
            <w:tcW w:w="1468" w:type="dxa"/>
            <w:tcBorders>
              <w:top w:val="nil"/>
              <w:bottom w:val="nil"/>
              <w:right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100.0</w:t>
            </w:r>
          </w:p>
        </w:tc>
      </w:tr>
      <w:tr w:rsidR="00F91EAC" w:rsidRPr="009E094C" w:rsidTr="0054066A">
        <w:tc>
          <w:tcPr>
            <w:tcW w:w="735" w:type="dxa"/>
            <w:vMerge/>
            <w:tcBorders>
              <w:top w:val="single" w:sz="16" w:space="0" w:color="000000"/>
              <w:left w:val="single" w:sz="16" w:space="0" w:color="000000"/>
              <w:bottom w:val="single" w:sz="16" w:space="0" w:color="000000"/>
              <w:right w:val="nil"/>
            </w:tcBorders>
            <w:shd w:val="clear" w:color="auto" w:fill="FFFFFF"/>
          </w:tcPr>
          <w:p w:rsidR="00F91EAC" w:rsidRPr="009E094C" w:rsidRDefault="00F91EAC" w:rsidP="00B0468D">
            <w:pPr>
              <w:autoSpaceDE w:val="0"/>
              <w:autoSpaceDN w:val="0"/>
              <w:adjustRightInd w:val="0"/>
              <w:spacing w:after="0" w:line="240" w:lineRule="auto"/>
              <w:rPr>
                <w:rFonts w:ascii="Arial" w:hAnsi="Arial" w:cs="Arial"/>
                <w:color w:val="000000"/>
                <w:sz w:val="18"/>
                <w:szCs w:val="18"/>
              </w:rPr>
            </w:pPr>
          </w:p>
        </w:tc>
        <w:tc>
          <w:tcPr>
            <w:tcW w:w="1728" w:type="dxa"/>
            <w:tcBorders>
              <w:top w:val="nil"/>
              <w:left w:val="nil"/>
              <w:bottom w:val="single" w:sz="16" w:space="0" w:color="000000"/>
              <w:right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rPr>
                <w:rFonts w:ascii="Arial" w:hAnsi="Arial" w:cs="Arial"/>
                <w:color w:val="000000"/>
                <w:sz w:val="18"/>
                <w:szCs w:val="18"/>
              </w:rPr>
            </w:pPr>
            <w:r w:rsidRPr="009E094C">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128</w:t>
            </w:r>
          </w:p>
        </w:tc>
        <w:tc>
          <w:tcPr>
            <w:tcW w:w="1018" w:type="dxa"/>
            <w:tcBorders>
              <w:top w:val="nil"/>
              <w:bottom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100.0</w:t>
            </w:r>
          </w:p>
        </w:tc>
        <w:tc>
          <w:tcPr>
            <w:tcW w:w="1394" w:type="dxa"/>
            <w:tcBorders>
              <w:top w:val="nil"/>
              <w:bottom w:val="single" w:sz="16" w:space="0" w:color="000000"/>
            </w:tcBorders>
            <w:shd w:val="clear" w:color="auto" w:fill="FFFFFF"/>
          </w:tcPr>
          <w:p w:rsidR="00F91EAC" w:rsidRPr="009E094C" w:rsidRDefault="00F91EAC" w:rsidP="00B0468D">
            <w:pPr>
              <w:autoSpaceDE w:val="0"/>
              <w:autoSpaceDN w:val="0"/>
              <w:adjustRightInd w:val="0"/>
              <w:spacing w:after="0" w:line="320" w:lineRule="atLeast"/>
              <w:ind w:left="60" w:right="60"/>
              <w:jc w:val="right"/>
              <w:rPr>
                <w:rFonts w:ascii="Arial" w:hAnsi="Arial" w:cs="Arial"/>
                <w:color w:val="000000"/>
                <w:sz w:val="18"/>
                <w:szCs w:val="18"/>
              </w:rPr>
            </w:pPr>
            <w:r w:rsidRPr="009E094C">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vAlign w:val="center"/>
          </w:tcPr>
          <w:p w:rsidR="00F91EAC" w:rsidRPr="009E094C" w:rsidRDefault="00F91EAC" w:rsidP="00B0468D">
            <w:pPr>
              <w:autoSpaceDE w:val="0"/>
              <w:autoSpaceDN w:val="0"/>
              <w:adjustRightInd w:val="0"/>
              <w:spacing w:after="0" w:line="240" w:lineRule="auto"/>
              <w:jc w:val="center"/>
              <w:rPr>
                <w:rFonts w:cs="Times New Roman"/>
                <w:szCs w:val="24"/>
              </w:rPr>
            </w:pPr>
          </w:p>
        </w:tc>
      </w:tr>
    </w:tbl>
    <w:p w:rsidR="00F91EAC" w:rsidRDefault="00F91EAC"/>
    <w:tbl>
      <w:tblPr>
        <w:tblpPr w:leftFromText="180" w:rightFromText="180" w:vertAnchor="text" w:tblpY="1"/>
        <w:tblOverlap w:val="never"/>
        <w:tblW w:w="7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28"/>
        <w:gridCol w:w="1165"/>
        <w:gridCol w:w="1018"/>
        <w:gridCol w:w="1394"/>
        <w:gridCol w:w="1468"/>
      </w:tblGrid>
      <w:tr w:rsidR="00F91EAC" w:rsidRPr="0054066A" w:rsidTr="00FD041C">
        <w:tc>
          <w:tcPr>
            <w:tcW w:w="7506" w:type="dxa"/>
            <w:gridSpan w:val="6"/>
            <w:tcBorders>
              <w:top w:val="nil"/>
              <w:left w:val="nil"/>
              <w:bottom w:val="nil"/>
              <w:right w:val="nil"/>
            </w:tcBorders>
            <w:shd w:val="clear" w:color="auto" w:fill="FFFFFF"/>
            <w:vAlign w:val="center"/>
          </w:tcPr>
          <w:p w:rsidR="00F91EAC" w:rsidRPr="0054066A" w:rsidRDefault="00D52E79" w:rsidP="00FD041C">
            <w:pPr>
              <w:autoSpaceDE w:val="0"/>
              <w:autoSpaceDN w:val="0"/>
              <w:adjustRightInd w:val="0"/>
              <w:spacing w:after="0" w:line="320" w:lineRule="atLeast"/>
              <w:ind w:left="60" w:right="60"/>
              <w:jc w:val="center"/>
              <w:rPr>
                <w:rFonts w:ascii="Arial" w:hAnsi="Arial" w:cs="Arial"/>
                <w:b/>
                <w:color w:val="000000"/>
                <w:sz w:val="18"/>
                <w:szCs w:val="18"/>
              </w:rPr>
            </w:pPr>
            <w:r>
              <w:rPr>
                <w:rFonts w:ascii="Arial" w:hAnsi="Arial" w:cs="Arial"/>
                <w:b/>
                <w:color w:val="000000"/>
                <w:sz w:val="18"/>
                <w:szCs w:val="18"/>
              </w:rPr>
              <w:t>Table 2</w:t>
            </w:r>
            <w:r w:rsidR="0054066A" w:rsidRPr="0054066A">
              <w:rPr>
                <w:rFonts w:ascii="Arial" w:hAnsi="Arial" w:cs="Arial"/>
                <w:b/>
                <w:color w:val="000000"/>
                <w:sz w:val="18"/>
                <w:szCs w:val="18"/>
              </w:rPr>
              <w:t> : Defendant’s legal representation-Kankakee County</w:t>
            </w:r>
          </w:p>
        </w:tc>
      </w:tr>
      <w:tr w:rsidR="00F91EAC" w:rsidRPr="00F75113" w:rsidTr="00FD041C">
        <w:tc>
          <w:tcPr>
            <w:tcW w:w="246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F91EAC" w:rsidRPr="0054066A" w:rsidRDefault="00F91EAC" w:rsidP="00FD041C">
            <w:pPr>
              <w:autoSpaceDE w:val="0"/>
              <w:autoSpaceDN w:val="0"/>
              <w:adjustRightInd w:val="0"/>
              <w:spacing w:after="0" w:line="240" w:lineRule="auto"/>
              <w:jc w:val="center"/>
              <w:rPr>
                <w:rFonts w:cs="Times New Roman"/>
                <w:szCs w:val="24"/>
              </w:rPr>
            </w:pPr>
          </w:p>
        </w:tc>
        <w:tc>
          <w:tcPr>
            <w:tcW w:w="1165" w:type="dxa"/>
            <w:tcBorders>
              <w:top w:val="single" w:sz="16" w:space="0" w:color="000000"/>
              <w:left w:val="single" w:sz="16" w:space="0" w:color="000000"/>
              <w:bottom w:val="single" w:sz="16" w:space="0" w:color="000000"/>
            </w:tcBorders>
            <w:shd w:val="clear" w:color="auto" w:fill="FFFFFF"/>
            <w:vAlign w:val="bottom"/>
          </w:tcPr>
          <w:p w:rsidR="00F91EAC" w:rsidRPr="00F75113" w:rsidRDefault="00F91EAC" w:rsidP="00FD041C">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vAlign w:val="bottom"/>
          </w:tcPr>
          <w:p w:rsidR="00F91EAC" w:rsidRPr="00F75113" w:rsidRDefault="00F91EAC" w:rsidP="00FD041C">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vAlign w:val="bottom"/>
          </w:tcPr>
          <w:p w:rsidR="00F91EAC" w:rsidRPr="00F75113" w:rsidRDefault="00F91EAC" w:rsidP="00FD041C">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F91EAC" w:rsidRPr="00F75113" w:rsidRDefault="00F91EAC" w:rsidP="00FD041C">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Cumulative Percent</w:t>
            </w:r>
          </w:p>
        </w:tc>
      </w:tr>
      <w:tr w:rsidR="00F91EAC" w:rsidRPr="00F75113" w:rsidTr="00FD041C">
        <w:tc>
          <w:tcPr>
            <w:tcW w:w="734" w:type="dxa"/>
            <w:vMerge w:val="restart"/>
            <w:tcBorders>
              <w:top w:val="single" w:sz="16" w:space="0" w:color="000000"/>
              <w:left w:val="single" w:sz="16" w:space="0" w:color="000000"/>
              <w:bottom w:val="single" w:sz="16" w:space="0" w:color="000000"/>
              <w:right w:val="nil"/>
            </w:tcBorders>
            <w:shd w:val="clear" w:color="auto" w:fill="FFFFFF"/>
          </w:tcPr>
          <w:p w:rsidR="00F91EAC" w:rsidRPr="00F75113" w:rsidRDefault="00F91EAC" w:rsidP="00FD041C">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Valid</w:t>
            </w:r>
          </w:p>
        </w:tc>
        <w:tc>
          <w:tcPr>
            <w:tcW w:w="1727" w:type="dxa"/>
            <w:tcBorders>
              <w:top w:val="single" w:sz="16" w:space="0" w:color="000000"/>
              <w:left w:val="nil"/>
              <w:bottom w:val="nil"/>
              <w:right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No PD Appointed</w:t>
            </w:r>
          </w:p>
        </w:tc>
        <w:tc>
          <w:tcPr>
            <w:tcW w:w="1165" w:type="dxa"/>
            <w:tcBorders>
              <w:top w:val="single" w:sz="16" w:space="0" w:color="000000"/>
              <w:left w:val="single" w:sz="16" w:space="0" w:color="000000"/>
              <w:bottom w:val="nil"/>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76</w:t>
            </w:r>
          </w:p>
        </w:tc>
        <w:tc>
          <w:tcPr>
            <w:tcW w:w="1018" w:type="dxa"/>
            <w:tcBorders>
              <w:top w:val="single" w:sz="16" w:space="0" w:color="000000"/>
              <w:bottom w:val="nil"/>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54.3</w:t>
            </w:r>
          </w:p>
        </w:tc>
        <w:tc>
          <w:tcPr>
            <w:tcW w:w="1394" w:type="dxa"/>
            <w:tcBorders>
              <w:top w:val="single" w:sz="16" w:space="0" w:color="000000"/>
              <w:bottom w:val="nil"/>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54.3</w:t>
            </w:r>
          </w:p>
        </w:tc>
        <w:tc>
          <w:tcPr>
            <w:tcW w:w="1468" w:type="dxa"/>
            <w:tcBorders>
              <w:top w:val="single" w:sz="16" w:space="0" w:color="000000"/>
              <w:bottom w:val="nil"/>
              <w:right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54.3</w:t>
            </w:r>
          </w:p>
        </w:tc>
      </w:tr>
      <w:tr w:rsidR="00F91EAC" w:rsidRPr="00F75113" w:rsidTr="00FD041C">
        <w:tc>
          <w:tcPr>
            <w:tcW w:w="734" w:type="dxa"/>
            <w:vMerge/>
            <w:tcBorders>
              <w:top w:val="single" w:sz="16" w:space="0" w:color="000000"/>
              <w:left w:val="single" w:sz="16" w:space="0" w:color="000000"/>
              <w:bottom w:val="single" w:sz="16" w:space="0" w:color="000000"/>
              <w:right w:val="nil"/>
            </w:tcBorders>
            <w:shd w:val="clear" w:color="auto" w:fill="FFFFFF"/>
          </w:tcPr>
          <w:p w:rsidR="00F91EAC" w:rsidRPr="00F75113" w:rsidRDefault="00F91EAC" w:rsidP="00FD041C">
            <w:pPr>
              <w:autoSpaceDE w:val="0"/>
              <w:autoSpaceDN w:val="0"/>
              <w:adjustRightInd w:val="0"/>
              <w:spacing w:after="0" w:line="240" w:lineRule="auto"/>
              <w:rPr>
                <w:rFonts w:ascii="Arial" w:hAnsi="Arial" w:cs="Arial"/>
                <w:color w:val="000000"/>
                <w:sz w:val="18"/>
                <w:szCs w:val="18"/>
              </w:rPr>
            </w:pPr>
          </w:p>
        </w:tc>
        <w:tc>
          <w:tcPr>
            <w:tcW w:w="1727" w:type="dxa"/>
            <w:tcBorders>
              <w:top w:val="nil"/>
              <w:left w:val="nil"/>
              <w:bottom w:val="nil"/>
              <w:right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PD Appointed</w:t>
            </w:r>
          </w:p>
        </w:tc>
        <w:tc>
          <w:tcPr>
            <w:tcW w:w="1165" w:type="dxa"/>
            <w:tcBorders>
              <w:top w:val="nil"/>
              <w:left w:val="single" w:sz="16" w:space="0" w:color="000000"/>
              <w:bottom w:val="nil"/>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64</w:t>
            </w:r>
          </w:p>
        </w:tc>
        <w:tc>
          <w:tcPr>
            <w:tcW w:w="1018" w:type="dxa"/>
            <w:tcBorders>
              <w:top w:val="nil"/>
              <w:bottom w:val="nil"/>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45.7</w:t>
            </w:r>
          </w:p>
        </w:tc>
        <w:tc>
          <w:tcPr>
            <w:tcW w:w="1394" w:type="dxa"/>
            <w:tcBorders>
              <w:top w:val="nil"/>
              <w:bottom w:val="nil"/>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45.7</w:t>
            </w:r>
          </w:p>
        </w:tc>
        <w:tc>
          <w:tcPr>
            <w:tcW w:w="1468" w:type="dxa"/>
            <w:tcBorders>
              <w:top w:val="nil"/>
              <w:bottom w:val="nil"/>
              <w:right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r>
      <w:tr w:rsidR="00F91EAC" w:rsidRPr="00F75113" w:rsidTr="00FD041C">
        <w:tc>
          <w:tcPr>
            <w:tcW w:w="734" w:type="dxa"/>
            <w:vMerge/>
            <w:tcBorders>
              <w:top w:val="single" w:sz="16" w:space="0" w:color="000000"/>
              <w:left w:val="single" w:sz="16" w:space="0" w:color="000000"/>
              <w:bottom w:val="single" w:sz="16" w:space="0" w:color="000000"/>
              <w:right w:val="nil"/>
            </w:tcBorders>
            <w:shd w:val="clear" w:color="auto" w:fill="FFFFFF"/>
          </w:tcPr>
          <w:p w:rsidR="00F91EAC" w:rsidRPr="00F75113" w:rsidRDefault="00F91EAC" w:rsidP="00FD041C">
            <w:pPr>
              <w:autoSpaceDE w:val="0"/>
              <w:autoSpaceDN w:val="0"/>
              <w:adjustRightInd w:val="0"/>
              <w:spacing w:after="0" w:line="240" w:lineRule="auto"/>
              <w:rPr>
                <w:rFonts w:ascii="Arial" w:hAnsi="Arial" w:cs="Arial"/>
                <w:color w:val="000000"/>
                <w:sz w:val="18"/>
                <w:szCs w:val="18"/>
              </w:rPr>
            </w:pPr>
          </w:p>
        </w:tc>
        <w:tc>
          <w:tcPr>
            <w:tcW w:w="1727" w:type="dxa"/>
            <w:tcBorders>
              <w:top w:val="nil"/>
              <w:left w:val="nil"/>
              <w:bottom w:val="single" w:sz="16" w:space="0" w:color="000000"/>
              <w:right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140</w:t>
            </w:r>
          </w:p>
        </w:tc>
        <w:tc>
          <w:tcPr>
            <w:tcW w:w="1018" w:type="dxa"/>
            <w:tcBorders>
              <w:top w:val="nil"/>
              <w:bottom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394" w:type="dxa"/>
            <w:tcBorders>
              <w:top w:val="nil"/>
              <w:bottom w:val="single" w:sz="16" w:space="0" w:color="000000"/>
            </w:tcBorders>
            <w:shd w:val="clear" w:color="auto" w:fill="FFFFFF"/>
          </w:tcPr>
          <w:p w:rsidR="00F91EAC" w:rsidRPr="00F75113" w:rsidRDefault="00F91EAC" w:rsidP="00FD041C">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vAlign w:val="center"/>
          </w:tcPr>
          <w:p w:rsidR="00F91EAC" w:rsidRPr="00F75113" w:rsidRDefault="00F91EAC" w:rsidP="00FD041C">
            <w:pPr>
              <w:autoSpaceDE w:val="0"/>
              <w:autoSpaceDN w:val="0"/>
              <w:adjustRightInd w:val="0"/>
              <w:spacing w:after="0" w:line="240" w:lineRule="auto"/>
              <w:jc w:val="center"/>
              <w:rPr>
                <w:rFonts w:cs="Times New Roman"/>
                <w:szCs w:val="24"/>
              </w:rPr>
            </w:pPr>
          </w:p>
        </w:tc>
      </w:tr>
    </w:tbl>
    <w:p w:rsidR="00F91EAC" w:rsidRDefault="00FD041C">
      <w:r>
        <w:br w:type="textWrapping" w:clear="all"/>
      </w:r>
    </w:p>
    <w:p w:rsidR="0054700C" w:rsidRPr="003B4115" w:rsidRDefault="00D52E79" w:rsidP="00EF5C80">
      <w:pPr>
        <w:spacing w:line="480" w:lineRule="auto"/>
        <w:ind w:firstLine="720"/>
      </w:pPr>
      <w:r>
        <w:t xml:space="preserve">In McLean County, 92.2% of defendants had no prior DV charge and 94.3% had no prior DV charge in Kankakee County. </w:t>
      </w:r>
      <w:r w:rsidR="003B4115">
        <w:t>75% had no prior non-DV misdemeanor charge in McLean County and 84.3</w:t>
      </w:r>
      <w:proofErr w:type="gramStart"/>
      <w:r w:rsidR="003B4115">
        <w:t xml:space="preserve">% </w:t>
      </w:r>
      <w:r w:rsidR="0054700C" w:rsidRPr="005704D2">
        <w:rPr>
          <w:b/>
        </w:rPr>
        <w:t xml:space="preserve"> </w:t>
      </w:r>
      <w:r w:rsidR="003B4115">
        <w:t>had</w:t>
      </w:r>
      <w:proofErr w:type="gramEnd"/>
      <w:r w:rsidR="003B4115">
        <w:t xml:space="preserve"> no prior non-DV misdemeanor charge in Kankakee County. 97.7% had no prior non-DV felony charge in McLean County and 97.9% had no prior non-DV felony charge in Kankakee County. (</w:t>
      </w:r>
      <w:r w:rsidR="003B4115">
        <w:rPr>
          <w:i/>
        </w:rPr>
        <w:t xml:space="preserve">See </w:t>
      </w:r>
      <w:r w:rsidR="003B4115">
        <w:t>tables 6-12).</w:t>
      </w:r>
    </w:p>
    <w:tbl>
      <w:tblPr>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5"/>
        <w:gridCol w:w="1170"/>
        <w:gridCol w:w="1620"/>
        <w:gridCol w:w="1350"/>
        <w:gridCol w:w="1350"/>
      </w:tblGrid>
      <w:tr w:rsidR="005704D2" w:rsidRPr="005704D2" w:rsidTr="00430C79">
        <w:tc>
          <w:tcPr>
            <w:tcW w:w="7110" w:type="dxa"/>
            <w:gridSpan w:val="6"/>
            <w:tcBorders>
              <w:top w:val="nil"/>
              <w:left w:val="nil"/>
              <w:bottom w:val="nil"/>
              <w:right w:val="nil"/>
            </w:tcBorders>
            <w:shd w:val="clear" w:color="auto" w:fill="FFFFFF"/>
            <w:vAlign w:val="center"/>
          </w:tcPr>
          <w:p w:rsidR="005704D2" w:rsidRPr="005704D2" w:rsidRDefault="005704D2" w:rsidP="003B4115">
            <w:pPr>
              <w:autoSpaceDE w:val="0"/>
              <w:autoSpaceDN w:val="0"/>
              <w:adjustRightInd w:val="0"/>
              <w:spacing w:after="0" w:line="320" w:lineRule="atLeast"/>
              <w:ind w:right="60"/>
              <w:rPr>
                <w:rFonts w:ascii="Arial" w:hAnsi="Arial" w:cs="Arial"/>
                <w:b/>
                <w:bCs/>
                <w:color w:val="000000"/>
                <w:sz w:val="18"/>
                <w:szCs w:val="18"/>
              </w:rPr>
            </w:pPr>
          </w:p>
          <w:p w:rsidR="005704D2" w:rsidRPr="005704D2" w:rsidRDefault="005704D2" w:rsidP="00B218E6">
            <w:pPr>
              <w:autoSpaceDE w:val="0"/>
              <w:autoSpaceDN w:val="0"/>
              <w:adjustRightInd w:val="0"/>
              <w:spacing w:after="0" w:line="320" w:lineRule="atLeast"/>
              <w:ind w:right="60"/>
              <w:rPr>
                <w:rFonts w:ascii="Arial" w:hAnsi="Arial" w:cs="Arial"/>
                <w:b/>
                <w:bCs/>
                <w:color w:val="000000"/>
                <w:sz w:val="18"/>
                <w:szCs w:val="18"/>
              </w:rPr>
            </w:pPr>
          </w:p>
          <w:p w:rsidR="005704D2" w:rsidRPr="005704D2" w:rsidRDefault="005704D2" w:rsidP="005704D2">
            <w:pPr>
              <w:autoSpaceDE w:val="0"/>
              <w:autoSpaceDN w:val="0"/>
              <w:adjustRightInd w:val="0"/>
              <w:spacing w:after="0" w:line="320" w:lineRule="atLeast"/>
              <w:ind w:left="60" w:right="60"/>
              <w:rPr>
                <w:rFonts w:ascii="Arial" w:hAnsi="Arial" w:cs="Arial"/>
                <w:color w:val="000000"/>
                <w:sz w:val="18"/>
                <w:szCs w:val="18"/>
              </w:rPr>
            </w:pPr>
            <w:r w:rsidRPr="005704D2">
              <w:rPr>
                <w:rFonts w:ascii="Arial" w:hAnsi="Arial" w:cs="Arial"/>
                <w:b/>
                <w:bCs/>
                <w:color w:val="000000"/>
                <w:sz w:val="18"/>
                <w:szCs w:val="18"/>
              </w:rPr>
              <w:t>Table 6 : Prior DV Charge-McLean County</w:t>
            </w:r>
          </w:p>
        </w:tc>
      </w:tr>
      <w:tr w:rsidR="005704D2" w:rsidRPr="00F75113" w:rsidTr="00430C79">
        <w:tc>
          <w:tcPr>
            <w:tcW w:w="16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704D2" w:rsidRPr="005704D2" w:rsidRDefault="005704D2" w:rsidP="00B0468D">
            <w:pPr>
              <w:autoSpaceDE w:val="0"/>
              <w:autoSpaceDN w:val="0"/>
              <w:adjustRightInd w:val="0"/>
              <w:spacing w:after="0" w:line="240" w:lineRule="auto"/>
              <w:jc w:val="center"/>
              <w:rPr>
                <w:rFonts w:cs="Times New Roman"/>
                <w:szCs w:val="24"/>
              </w:rPr>
            </w:pPr>
          </w:p>
        </w:tc>
        <w:tc>
          <w:tcPr>
            <w:tcW w:w="1170" w:type="dxa"/>
            <w:tcBorders>
              <w:top w:val="single" w:sz="16" w:space="0" w:color="000000"/>
              <w:left w:val="single" w:sz="16" w:space="0" w:color="000000"/>
              <w:bottom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Frequency</w:t>
            </w:r>
          </w:p>
        </w:tc>
        <w:tc>
          <w:tcPr>
            <w:tcW w:w="1620" w:type="dxa"/>
            <w:tcBorders>
              <w:top w:val="single" w:sz="16" w:space="0" w:color="000000"/>
              <w:bottom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Percent</w:t>
            </w:r>
          </w:p>
        </w:tc>
        <w:tc>
          <w:tcPr>
            <w:tcW w:w="1350" w:type="dxa"/>
            <w:tcBorders>
              <w:top w:val="single" w:sz="16" w:space="0" w:color="000000"/>
              <w:bottom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Valid Percent</w:t>
            </w:r>
          </w:p>
        </w:tc>
        <w:tc>
          <w:tcPr>
            <w:tcW w:w="1350" w:type="dxa"/>
            <w:tcBorders>
              <w:top w:val="single" w:sz="16" w:space="0" w:color="000000"/>
              <w:bottom w:val="single" w:sz="16" w:space="0" w:color="000000"/>
              <w:right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Cumulative Percent</w:t>
            </w:r>
          </w:p>
        </w:tc>
      </w:tr>
      <w:tr w:rsidR="005704D2" w:rsidRPr="00F75113" w:rsidTr="00430C79">
        <w:tc>
          <w:tcPr>
            <w:tcW w:w="735" w:type="dxa"/>
            <w:vMerge w:val="restart"/>
            <w:tcBorders>
              <w:top w:val="single" w:sz="16" w:space="0" w:color="000000"/>
              <w:left w:val="single" w:sz="16" w:space="0" w:color="000000"/>
              <w:bottom w:val="single" w:sz="16" w:space="0" w:color="000000"/>
              <w:right w:val="nil"/>
            </w:tcBorders>
            <w:shd w:val="clear" w:color="auto" w:fill="FFFFFF"/>
          </w:tcPr>
          <w:p w:rsidR="005704D2" w:rsidRPr="00F75113" w:rsidRDefault="005704D2"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Pr>
          <w:p w:rsidR="005704D2" w:rsidRPr="00F75113" w:rsidRDefault="005704D2" w:rsidP="005704D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w:t>
            </w:r>
            <w:r w:rsidRPr="00F75113">
              <w:rPr>
                <w:rFonts w:ascii="Arial" w:hAnsi="Arial" w:cs="Arial"/>
                <w:color w:val="000000"/>
                <w:sz w:val="18"/>
                <w:szCs w:val="18"/>
              </w:rPr>
              <w:t xml:space="preserve">No </w:t>
            </w:r>
          </w:p>
        </w:tc>
        <w:tc>
          <w:tcPr>
            <w:tcW w:w="1170" w:type="dxa"/>
            <w:tcBorders>
              <w:top w:val="single" w:sz="16" w:space="0" w:color="000000"/>
              <w:left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118</w:t>
            </w:r>
          </w:p>
        </w:tc>
        <w:tc>
          <w:tcPr>
            <w:tcW w:w="1620" w:type="dxa"/>
            <w:tcBorders>
              <w:top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92.2</w:t>
            </w:r>
          </w:p>
        </w:tc>
        <w:tc>
          <w:tcPr>
            <w:tcW w:w="1350" w:type="dxa"/>
            <w:tcBorders>
              <w:top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92.2</w:t>
            </w:r>
          </w:p>
        </w:tc>
        <w:tc>
          <w:tcPr>
            <w:tcW w:w="1350" w:type="dxa"/>
            <w:tcBorders>
              <w:top w:val="single" w:sz="16" w:space="0" w:color="000000"/>
              <w:bottom w:val="nil"/>
              <w:right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92.2</w:t>
            </w:r>
          </w:p>
        </w:tc>
      </w:tr>
      <w:tr w:rsidR="005704D2"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5704D2" w:rsidRPr="00F75113" w:rsidRDefault="005704D2"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Yes</w:t>
            </w:r>
          </w:p>
        </w:tc>
        <w:tc>
          <w:tcPr>
            <w:tcW w:w="1170" w:type="dxa"/>
            <w:tcBorders>
              <w:top w:val="nil"/>
              <w:left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w:t>
            </w:r>
          </w:p>
        </w:tc>
        <w:tc>
          <w:tcPr>
            <w:tcW w:w="1620" w:type="dxa"/>
            <w:tcBorders>
              <w:top w:val="nil"/>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7.8</w:t>
            </w:r>
          </w:p>
        </w:tc>
        <w:tc>
          <w:tcPr>
            <w:tcW w:w="1350" w:type="dxa"/>
            <w:tcBorders>
              <w:top w:val="nil"/>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7.8</w:t>
            </w:r>
          </w:p>
        </w:tc>
        <w:tc>
          <w:tcPr>
            <w:tcW w:w="1350" w:type="dxa"/>
            <w:tcBorders>
              <w:top w:val="nil"/>
              <w:bottom w:val="nil"/>
              <w:right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r>
      <w:tr w:rsidR="005704D2"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5704D2" w:rsidRPr="00F75113" w:rsidRDefault="005704D2"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w:t>
            </w:r>
            <w:r w:rsidRPr="00F75113">
              <w:rPr>
                <w:rFonts w:ascii="Arial" w:hAnsi="Arial" w:cs="Arial"/>
                <w:color w:val="000000"/>
                <w:sz w:val="18"/>
                <w:szCs w:val="18"/>
              </w:rPr>
              <w:t>Total</w:t>
            </w:r>
          </w:p>
        </w:tc>
        <w:tc>
          <w:tcPr>
            <w:tcW w:w="1170" w:type="dxa"/>
            <w:tcBorders>
              <w:top w:val="nil"/>
              <w:left w:val="single" w:sz="16" w:space="0" w:color="000000"/>
              <w:bottom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128</w:t>
            </w:r>
          </w:p>
        </w:tc>
        <w:tc>
          <w:tcPr>
            <w:tcW w:w="1620" w:type="dxa"/>
            <w:tcBorders>
              <w:top w:val="nil"/>
              <w:bottom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350" w:type="dxa"/>
            <w:tcBorders>
              <w:top w:val="nil"/>
              <w:bottom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350" w:type="dxa"/>
            <w:tcBorders>
              <w:top w:val="nil"/>
              <w:bottom w:val="single" w:sz="16" w:space="0" w:color="000000"/>
              <w:right w:val="single" w:sz="16" w:space="0" w:color="000000"/>
            </w:tcBorders>
            <w:shd w:val="clear" w:color="auto" w:fill="FFFFFF"/>
            <w:vAlign w:val="center"/>
          </w:tcPr>
          <w:p w:rsidR="005704D2" w:rsidRPr="00F75113" w:rsidRDefault="005704D2" w:rsidP="00B0468D">
            <w:pPr>
              <w:autoSpaceDE w:val="0"/>
              <w:autoSpaceDN w:val="0"/>
              <w:adjustRightInd w:val="0"/>
              <w:spacing w:after="0" w:line="240" w:lineRule="auto"/>
              <w:jc w:val="center"/>
              <w:rPr>
                <w:rFonts w:cs="Times New Roman"/>
                <w:szCs w:val="24"/>
              </w:rPr>
            </w:pPr>
          </w:p>
        </w:tc>
      </w:tr>
    </w:tbl>
    <w:p w:rsidR="005704D2" w:rsidRDefault="005704D2">
      <w:pPr>
        <w:rPr>
          <w:b/>
        </w:rPr>
      </w:pPr>
    </w:p>
    <w:tbl>
      <w:tblPr>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5"/>
        <w:gridCol w:w="1170"/>
        <w:gridCol w:w="1620"/>
        <w:gridCol w:w="1350"/>
        <w:gridCol w:w="1350"/>
      </w:tblGrid>
      <w:tr w:rsidR="005704D2" w:rsidRPr="005704D2" w:rsidTr="00430C79">
        <w:trPr>
          <w:trHeight w:val="342"/>
        </w:trPr>
        <w:tc>
          <w:tcPr>
            <w:tcW w:w="7110" w:type="dxa"/>
            <w:gridSpan w:val="6"/>
            <w:tcBorders>
              <w:top w:val="nil"/>
              <w:left w:val="nil"/>
              <w:bottom w:val="nil"/>
              <w:right w:val="nil"/>
            </w:tcBorders>
            <w:shd w:val="clear" w:color="auto" w:fill="FFFFFF"/>
            <w:vAlign w:val="center"/>
          </w:tcPr>
          <w:p w:rsidR="005704D2" w:rsidRDefault="005704D2" w:rsidP="00B0468D">
            <w:pPr>
              <w:autoSpaceDE w:val="0"/>
              <w:autoSpaceDN w:val="0"/>
              <w:adjustRightInd w:val="0"/>
              <w:spacing w:after="0" w:line="320" w:lineRule="atLeast"/>
              <w:ind w:left="60" w:right="60"/>
              <w:jc w:val="center"/>
              <w:rPr>
                <w:rFonts w:ascii="Arial" w:hAnsi="Arial" w:cs="Arial"/>
                <w:b/>
                <w:bCs/>
                <w:color w:val="000000"/>
                <w:sz w:val="18"/>
                <w:szCs w:val="18"/>
              </w:rPr>
            </w:pPr>
          </w:p>
          <w:p w:rsidR="005704D2" w:rsidRPr="005704D2" w:rsidRDefault="005704D2" w:rsidP="005704D2">
            <w:pPr>
              <w:autoSpaceDE w:val="0"/>
              <w:autoSpaceDN w:val="0"/>
              <w:adjustRightInd w:val="0"/>
              <w:spacing w:after="0" w:line="320" w:lineRule="atLeast"/>
              <w:ind w:left="60" w:right="60"/>
              <w:rPr>
                <w:rFonts w:ascii="Arial" w:hAnsi="Arial" w:cs="Arial"/>
                <w:color w:val="000000"/>
                <w:sz w:val="18"/>
                <w:szCs w:val="18"/>
              </w:rPr>
            </w:pPr>
            <w:r w:rsidRPr="005704D2">
              <w:rPr>
                <w:rFonts w:ascii="Arial" w:hAnsi="Arial" w:cs="Arial"/>
                <w:b/>
                <w:bCs/>
                <w:color w:val="000000"/>
                <w:sz w:val="18"/>
                <w:szCs w:val="18"/>
              </w:rPr>
              <w:t>Table 7 : Prior non-DV Misdemeanor Charge-McLean County</w:t>
            </w:r>
          </w:p>
        </w:tc>
      </w:tr>
      <w:tr w:rsidR="005704D2" w:rsidRPr="00F75113" w:rsidTr="00430C79">
        <w:tc>
          <w:tcPr>
            <w:tcW w:w="16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704D2" w:rsidRPr="005704D2" w:rsidRDefault="005704D2" w:rsidP="00B0468D">
            <w:pPr>
              <w:autoSpaceDE w:val="0"/>
              <w:autoSpaceDN w:val="0"/>
              <w:adjustRightInd w:val="0"/>
              <w:spacing w:after="0" w:line="240" w:lineRule="auto"/>
              <w:jc w:val="center"/>
              <w:rPr>
                <w:rFonts w:cs="Times New Roman"/>
                <w:szCs w:val="24"/>
              </w:rPr>
            </w:pPr>
          </w:p>
        </w:tc>
        <w:tc>
          <w:tcPr>
            <w:tcW w:w="1170" w:type="dxa"/>
            <w:tcBorders>
              <w:top w:val="single" w:sz="16" w:space="0" w:color="000000"/>
              <w:left w:val="single" w:sz="16" w:space="0" w:color="000000"/>
              <w:bottom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Frequency</w:t>
            </w:r>
          </w:p>
        </w:tc>
        <w:tc>
          <w:tcPr>
            <w:tcW w:w="1620" w:type="dxa"/>
            <w:tcBorders>
              <w:top w:val="single" w:sz="16" w:space="0" w:color="000000"/>
              <w:bottom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Percent</w:t>
            </w:r>
          </w:p>
        </w:tc>
        <w:tc>
          <w:tcPr>
            <w:tcW w:w="1350" w:type="dxa"/>
            <w:tcBorders>
              <w:top w:val="single" w:sz="16" w:space="0" w:color="000000"/>
              <w:bottom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Valid Percent</w:t>
            </w:r>
          </w:p>
        </w:tc>
        <w:tc>
          <w:tcPr>
            <w:tcW w:w="1350" w:type="dxa"/>
            <w:tcBorders>
              <w:top w:val="single" w:sz="16" w:space="0" w:color="000000"/>
              <w:bottom w:val="single" w:sz="16" w:space="0" w:color="000000"/>
              <w:right w:val="single" w:sz="16" w:space="0" w:color="000000"/>
            </w:tcBorders>
            <w:shd w:val="clear" w:color="auto" w:fill="FFFFFF"/>
            <w:vAlign w:val="bottom"/>
          </w:tcPr>
          <w:p w:rsidR="005704D2" w:rsidRPr="00F75113" w:rsidRDefault="005704D2"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Cumulative Percent</w:t>
            </w:r>
          </w:p>
        </w:tc>
      </w:tr>
      <w:tr w:rsidR="005704D2" w:rsidRPr="00F75113" w:rsidTr="00430C79">
        <w:tc>
          <w:tcPr>
            <w:tcW w:w="735" w:type="dxa"/>
            <w:vMerge w:val="restart"/>
            <w:tcBorders>
              <w:top w:val="single" w:sz="16" w:space="0" w:color="000000"/>
              <w:left w:val="single" w:sz="16" w:space="0" w:color="000000"/>
              <w:bottom w:val="single" w:sz="16" w:space="0" w:color="000000"/>
              <w:right w:val="nil"/>
            </w:tcBorders>
            <w:shd w:val="clear" w:color="auto" w:fill="FFFFFF"/>
          </w:tcPr>
          <w:p w:rsidR="005704D2" w:rsidRPr="00F75113" w:rsidRDefault="005704D2"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Pr>
          <w:p w:rsidR="005704D2" w:rsidRPr="005704D2" w:rsidRDefault="005704D2" w:rsidP="00430C79">
            <w:pPr>
              <w:autoSpaceDE w:val="0"/>
              <w:autoSpaceDN w:val="0"/>
              <w:adjustRightInd w:val="0"/>
              <w:spacing w:after="0" w:line="320" w:lineRule="atLeast"/>
              <w:ind w:left="60" w:right="60"/>
              <w:rPr>
                <w:rFonts w:ascii="Arial" w:hAnsi="Arial" w:cs="Arial"/>
                <w:color w:val="000000"/>
                <w:sz w:val="18"/>
                <w:szCs w:val="18"/>
              </w:rPr>
            </w:pPr>
            <w:r w:rsidRPr="005704D2">
              <w:rPr>
                <w:rFonts w:ascii="Arial" w:hAnsi="Arial" w:cs="Arial"/>
                <w:color w:val="000000"/>
                <w:sz w:val="18"/>
                <w:szCs w:val="18"/>
              </w:rPr>
              <w:t xml:space="preserve">No </w:t>
            </w:r>
          </w:p>
        </w:tc>
        <w:tc>
          <w:tcPr>
            <w:tcW w:w="1170" w:type="dxa"/>
            <w:tcBorders>
              <w:top w:val="single" w:sz="16" w:space="0" w:color="000000"/>
              <w:left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96</w:t>
            </w:r>
          </w:p>
        </w:tc>
        <w:tc>
          <w:tcPr>
            <w:tcW w:w="1620" w:type="dxa"/>
            <w:tcBorders>
              <w:top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75.0</w:t>
            </w:r>
          </w:p>
        </w:tc>
        <w:tc>
          <w:tcPr>
            <w:tcW w:w="1350" w:type="dxa"/>
            <w:tcBorders>
              <w:top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75.0</w:t>
            </w:r>
          </w:p>
        </w:tc>
        <w:tc>
          <w:tcPr>
            <w:tcW w:w="1350" w:type="dxa"/>
            <w:tcBorders>
              <w:top w:val="single" w:sz="16" w:space="0" w:color="000000"/>
              <w:bottom w:val="nil"/>
              <w:right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75.0</w:t>
            </w:r>
          </w:p>
        </w:tc>
      </w:tr>
      <w:tr w:rsidR="005704D2"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5704D2" w:rsidRPr="00F75113" w:rsidRDefault="005704D2"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Pr>
          <w:p w:rsidR="005704D2" w:rsidRPr="00F75113" w:rsidRDefault="00430C79" w:rsidP="00430C7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170" w:type="dxa"/>
            <w:tcBorders>
              <w:top w:val="nil"/>
              <w:left w:val="single" w:sz="16" w:space="0" w:color="000000"/>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32</w:t>
            </w:r>
          </w:p>
        </w:tc>
        <w:tc>
          <w:tcPr>
            <w:tcW w:w="1620" w:type="dxa"/>
            <w:tcBorders>
              <w:top w:val="nil"/>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25.0</w:t>
            </w:r>
          </w:p>
        </w:tc>
        <w:tc>
          <w:tcPr>
            <w:tcW w:w="1350" w:type="dxa"/>
            <w:tcBorders>
              <w:top w:val="nil"/>
              <w:bottom w:val="nil"/>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25.0</w:t>
            </w:r>
          </w:p>
        </w:tc>
        <w:tc>
          <w:tcPr>
            <w:tcW w:w="1350" w:type="dxa"/>
            <w:tcBorders>
              <w:top w:val="nil"/>
              <w:bottom w:val="nil"/>
              <w:right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r>
      <w:tr w:rsidR="005704D2"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5704D2" w:rsidRPr="00F75113" w:rsidRDefault="005704D2"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Total</w:t>
            </w:r>
          </w:p>
        </w:tc>
        <w:tc>
          <w:tcPr>
            <w:tcW w:w="1170" w:type="dxa"/>
            <w:tcBorders>
              <w:top w:val="nil"/>
              <w:left w:val="single" w:sz="16" w:space="0" w:color="000000"/>
              <w:bottom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128</w:t>
            </w:r>
          </w:p>
        </w:tc>
        <w:tc>
          <w:tcPr>
            <w:tcW w:w="1620" w:type="dxa"/>
            <w:tcBorders>
              <w:top w:val="nil"/>
              <w:bottom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350" w:type="dxa"/>
            <w:tcBorders>
              <w:top w:val="nil"/>
              <w:bottom w:val="single" w:sz="16" w:space="0" w:color="000000"/>
            </w:tcBorders>
            <w:shd w:val="clear" w:color="auto" w:fill="FFFFFF"/>
          </w:tcPr>
          <w:p w:rsidR="005704D2" w:rsidRPr="00F75113" w:rsidRDefault="005704D2"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350" w:type="dxa"/>
            <w:tcBorders>
              <w:top w:val="nil"/>
              <w:bottom w:val="single" w:sz="16" w:space="0" w:color="000000"/>
              <w:right w:val="single" w:sz="16" w:space="0" w:color="000000"/>
            </w:tcBorders>
            <w:shd w:val="clear" w:color="auto" w:fill="FFFFFF"/>
            <w:vAlign w:val="center"/>
          </w:tcPr>
          <w:p w:rsidR="005704D2" w:rsidRPr="00F75113" w:rsidRDefault="005704D2" w:rsidP="00B0468D">
            <w:pPr>
              <w:autoSpaceDE w:val="0"/>
              <w:autoSpaceDN w:val="0"/>
              <w:adjustRightInd w:val="0"/>
              <w:spacing w:after="0" w:line="240" w:lineRule="auto"/>
              <w:jc w:val="center"/>
              <w:rPr>
                <w:rFonts w:cs="Times New Roman"/>
                <w:szCs w:val="24"/>
              </w:rPr>
            </w:pPr>
          </w:p>
        </w:tc>
      </w:tr>
    </w:tbl>
    <w:p w:rsidR="005704D2" w:rsidRDefault="005704D2" w:rsidP="005704D2">
      <w:pPr>
        <w:autoSpaceDE w:val="0"/>
        <w:autoSpaceDN w:val="0"/>
        <w:adjustRightInd w:val="0"/>
        <w:spacing w:after="0" w:line="400" w:lineRule="atLeast"/>
        <w:rPr>
          <w:rFonts w:cs="Times New Roman"/>
          <w:szCs w:val="24"/>
        </w:rPr>
      </w:pPr>
    </w:p>
    <w:tbl>
      <w:tblPr>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5"/>
        <w:gridCol w:w="1170"/>
        <w:gridCol w:w="1620"/>
        <w:gridCol w:w="1440"/>
        <w:gridCol w:w="1260"/>
      </w:tblGrid>
      <w:tr w:rsidR="00430C79" w:rsidRPr="00430C79" w:rsidTr="00430C79">
        <w:tc>
          <w:tcPr>
            <w:tcW w:w="7110" w:type="dxa"/>
            <w:gridSpan w:val="6"/>
            <w:tcBorders>
              <w:top w:val="nil"/>
              <w:left w:val="nil"/>
              <w:bottom w:val="nil"/>
              <w:right w:val="nil"/>
            </w:tcBorders>
            <w:shd w:val="clear" w:color="auto" w:fill="FFFFFF"/>
            <w:vAlign w:val="center"/>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 xml:space="preserve">Table 8: </w:t>
            </w:r>
            <w:r w:rsidRPr="00430C79">
              <w:rPr>
                <w:rFonts w:ascii="Arial" w:hAnsi="Arial" w:cs="Arial"/>
                <w:b/>
                <w:bCs/>
                <w:color w:val="000000"/>
                <w:sz w:val="18"/>
                <w:szCs w:val="18"/>
              </w:rPr>
              <w:t>Prior non-DV Felony Charge</w:t>
            </w:r>
            <w:r>
              <w:rPr>
                <w:rFonts w:ascii="Arial" w:hAnsi="Arial" w:cs="Arial"/>
                <w:b/>
                <w:bCs/>
                <w:color w:val="000000"/>
                <w:sz w:val="18"/>
                <w:szCs w:val="18"/>
              </w:rPr>
              <w:t xml:space="preserve">-McLean County </w:t>
            </w:r>
          </w:p>
        </w:tc>
      </w:tr>
      <w:tr w:rsidR="00430C79" w:rsidRPr="00F75113" w:rsidTr="00430C79">
        <w:tc>
          <w:tcPr>
            <w:tcW w:w="16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30C79" w:rsidRPr="00430C79" w:rsidRDefault="00430C79" w:rsidP="00B0468D">
            <w:pPr>
              <w:autoSpaceDE w:val="0"/>
              <w:autoSpaceDN w:val="0"/>
              <w:adjustRightInd w:val="0"/>
              <w:spacing w:after="0" w:line="240" w:lineRule="auto"/>
              <w:jc w:val="center"/>
              <w:rPr>
                <w:rFonts w:cs="Times New Roman"/>
                <w:szCs w:val="24"/>
              </w:rPr>
            </w:pPr>
          </w:p>
        </w:tc>
        <w:tc>
          <w:tcPr>
            <w:tcW w:w="1170" w:type="dxa"/>
            <w:tcBorders>
              <w:top w:val="single" w:sz="16" w:space="0" w:color="000000"/>
              <w:left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Frequency</w:t>
            </w:r>
          </w:p>
        </w:tc>
        <w:tc>
          <w:tcPr>
            <w:tcW w:w="162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Percent</w:t>
            </w:r>
          </w:p>
        </w:tc>
        <w:tc>
          <w:tcPr>
            <w:tcW w:w="144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Valid Percent</w:t>
            </w:r>
          </w:p>
        </w:tc>
        <w:tc>
          <w:tcPr>
            <w:tcW w:w="1260" w:type="dxa"/>
            <w:tcBorders>
              <w:top w:val="single" w:sz="16" w:space="0" w:color="000000"/>
              <w:bottom w:val="single" w:sz="16" w:space="0" w:color="000000"/>
              <w:right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Cumulative Percent</w:t>
            </w:r>
          </w:p>
        </w:tc>
      </w:tr>
      <w:tr w:rsidR="00430C79" w:rsidRPr="00F75113" w:rsidTr="00430C79">
        <w:tc>
          <w:tcPr>
            <w:tcW w:w="735" w:type="dxa"/>
            <w:vMerge w:val="restart"/>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sidRPr="00430C79">
              <w:rPr>
                <w:rFonts w:ascii="Arial" w:hAnsi="Arial" w:cs="Arial"/>
                <w:color w:val="000000"/>
                <w:sz w:val="18"/>
                <w:szCs w:val="18"/>
              </w:rPr>
              <w:t xml:space="preserve">No </w:t>
            </w:r>
          </w:p>
        </w:tc>
        <w:tc>
          <w:tcPr>
            <w:tcW w:w="1170" w:type="dxa"/>
            <w:tcBorders>
              <w:top w:val="single" w:sz="16" w:space="0" w:color="000000"/>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125</w:t>
            </w:r>
          </w:p>
        </w:tc>
        <w:tc>
          <w:tcPr>
            <w:tcW w:w="162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97.7</w:t>
            </w:r>
          </w:p>
        </w:tc>
        <w:tc>
          <w:tcPr>
            <w:tcW w:w="144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97.7</w:t>
            </w:r>
          </w:p>
        </w:tc>
        <w:tc>
          <w:tcPr>
            <w:tcW w:w="1260" w:type="dxa"/>
            <w:tcBorders>
              <w:top w:val="single" w:sz="16" w:space="0" w:color="000000"/>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97.7</w:t>
            </w:r>
          </w:p>
        </w:tc>
      </w:tr>
      <w:tr w:rsidR="00430C79"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Yes </w:t>
            </w:r>
          </w:p>
        </w:tc>
        <w:tc>
          <w:tcPr>
            <w:tcW w:w="1170" w:type="dxa"/>
            <w:tcBorders>
              <w:top w:val="nil"/>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3</w:t>
            </w:r>
          </w:p>
        </w:tc>
        <w:tc>
          <w:tcPr>
            <w:tcW w:w="162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2.3</w:t>
            </w:r>
          </w:p>
        </w:tc>
        <w:tc>
          <w:tcPr>
            <w:tcW w:w="144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2.3</w:t>
            </w:r>
          </w:p>
        </w:tc>
        <w:tc>
          <w:tcPr>
            <w:tcW w:w="1260" w:type="dxa"/>
            <w:tcBorders>
              <w:top w:val="nil"/>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r>
      <w:tr w:rsidR="00430C79"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Total</w:t>
            </w:r>
          </w:p>
        </w:tc>
        <w:tc>
          <w:tcPr>
            <w:tcW w:w="1170" w:type="dxa"/>
            <w:tcBorders>
              <w:top w:val="nil"/>
              <w:left w:val="single" w:sz="16" w:space="0" w:color="000000"/>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128</w:t>
            </w:r>
          </w:p>
        </w:tc>
        <w:tc>
          <w:tcPr>
            <w:tcW w:w="162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44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260" w:type="dxa"/>
            <w:tcBorders>
              <w:top w:val="nil"/>
              <w:bottom w:val="single" w:sz="16" w:space="0" w:color="000000"/>
              <w:right w:val="single" w:sz="16" w:space="0" w:color="000000"/>
            </w:tcBorders>
            <w:shd w:val="clear" w:color="auto" w:fill="FFFFFF"/>
            <w:vAlign w:val="center"/>
          </w:tcPr>
          <w:p w:rsidR="00430C79" w:rsidRPr="00F75113" w:rsidRDefault="00430C79" w:rsidP="00B0468D">
            <w:pPr>
              <w:autoSpaceDE w:val="0"/>
              <w:autoSpaceDN w:val="0"/>
              <w:adjustRightInd w:val="0"/>
              <w:spacing w:after="0" w:line="240" w:lineRule="auto"/>
              <w:jc w:val="center"/>
              <w:rPr>
                <w:rFonts w:cs="Times New Roman"/>
                <w:szCs w:val="24"/>
              </w:rPr>
            </w:pPr>
          </w:p>
        </w:tc>
      </w:tr>
    </w:tbl>
    <w:p w:rsidR="00430C79" w:rsidRDefault="00430C79" w:rsidP="005704D2">
      <w:pPr>
        <w:autoSpaceDE w:val="0"/>
        <w:autoSpaceDN w:val="0"/>
        <w:adjustRightInd w:val="0"/>
        <w:spacing w:after="0" w:line="400" w:lineRule="atLeast"/>
        <w:rPr>
          <w:rFonts w:cs="Times New Roman"/>
          <w:b/>
          <w:szCs w:val="24"/>
        </w:rPr>
      </w:pPr>
    </w:p>
    <w:tbl>
      <w:tblPr>
        <w:tblW w:w="6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5"/>
        <w:gridCol w:w="1260"/>
        <w:gridCol w:w="1080"/>
        <w:gridCol w:w="1260"/>
        <w:gridCol w:w="1260"/>
      </w:tblGrid>
      <w:tr w:rsidR="00430C79" w:rsidRPr="00430C79" w:rsidTr="00430C79">
        <w:tc>
          <w:tcPr>
            <w:tcW w:w="6480" w:type="dxa"/>
            <w:gridSpan w:val="6"/>
            <w:tcBorders>
              <w:top w:val="nil"/>
              <w:left w:val="nil"/>
              <w:bottom w:val="nil"/>
              <w:right w:val="nil"/>
            </w:tcBorders>
            <w:shd w:val="clear" w:color="auto" w:fill="FFFFFF"/>
            <w:vAlign w:val="center"/>
          </w:tcPr>
          <w:p w:rsidR="00430C79" w:rsidRDefault="00430C79" w:rsidP="003B4115">
            <w:pPr>
              <w:autoSpaceDE w:val="0"/>
              <w:autoSpaceDN w:val="0"/>
              <w:adjustRightInd w:val="0"/>
              <w:spacing w:after="0" w:line="320" w:lineRule="atLeast"/>
              <w:ind w:right="60"/>
              <w:rPr>
                <w:rFonts w:ascii="Arial" w:hAnsi="Arial" w:cs="Arial"/>
                <w:b/>
                <w:bCs/>
                <w:color w:val="000000"/>
                <w:sz w:val="18"/>
                <w:szCs w:val="18"/>
              </w:rPr>
            </w:pPr>
          </w:p>
          <w:p w:rsidR="00430C79" w:rsidRDefault="00430C79" w:rsidP="00B0468D">
            <w:pPr>
              <w:autoSpaceDE w:val="0"/>
              <w:autoSpaceDN w:val="0"/>
              <w:adjustRightInd w:val="0"/>
              <w:spacing w:after="0" w:line="320" w:lineRule="atLeast"/>
              <w:ind w:left="60" w:right="60"/>
              <w:jc w:val="center"/>
              <w:rPr>
                <w:rFonts w:ascii="Arial" w:hAnsi="Arial" w:cs="Arial"/>
                <w:b/>
                <w:bCs/>
                <w:color w:val="000000"/>
                <w:sz w:val="18"/>
                <w:szCs w:val="18"/>
              </w:rPr>
            </w:pPr>
          </w:p>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sidRPr="00430C79">
              <w:rPr>
                <w:rFonts w:ascii="Arial" w:hAnsi="Arial" w:cs="Arial"/>
                <w:b/>
                <w:bCs/>
                <w:color w:val="000000"/>
                <w:sz w:val="18"/>
                <w:szCs w:val="18"/>
              </w:rPr>
              <w:t>Table 10 : Prior DV Charge-Kankakee County</w:t>
            </w:r>
          </w:p>
        </w:tc>
      </w:tr>
      <w:tr w:rsidR="00430C79" w:rsidRPr="00F75113" w:rsidTr="00430C79">
        <w:tc>
          <w:tcPr>
            <w:tcW w:w="16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30C79" w:rsidRPr="00430C79" w:rsidRDefault="00430C79" w:rsidP="00B0468D">
            <w:pPr>
              <w:autoSpaceDE w:val="0"/>
              <w:autoSpaceDN w:val="0"/>
              <w:adjustRightInd w:val="0"/>
              <w:spacing w:after="0" w:line="240" w:lineRule="auto"/>
              <w:jc w:val="center"/>
              <w:rPr>
                <w:rFonts w:cs="Times New Roman"/>
                <w:szCs w:val="24"/>
              </w:rPr>
            </w:pPr>
          </w:p>
        </w:tc>
        <w:tc>
          <w:tcPr>
            <w:tcW w:w="1260" w:type="dxa"/>
            <w:tcBorders>
              <w:top w:val="single" w:sz="16" w:space="0" w:color="000000"/>
              <w:left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Frequency</w:t>
            </w:r>
          </w:p>
        </w:tc>
        <w:tc>
          <w:tcPr>
            <w:tcW w:w="108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Percent</w:t>
            </w:r>
          </w:p>
        </w:tc>
        <w:tc>
          <w:tcPr>
            <w:tcW w:w="126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Valid Percent</w:t>
            </w:r>
          </w:p>
        </w:tc>
        <w:tc>
          <w:tcPr>
            <w:tcW w:w="1260" w:type="dxa"/>
            <w:tcBorders>
              <w:top w:val="single" w:sz="16" w:space="0" w:color="000000"/>
              <w:bottom w:val="single" w:sz="16" w:space="0" w:color="000000"/>
              <w:right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Cumulative Percent</w:t>
            </w:r>
          </w:p>
        </w:tc>
      </w:tr>
      <w:tr w:rsidR="00430C79" w:rsidRPr="00F75113" w:rsidTr="00430C79">
        <w:tc>
          <w:tcPr>
            <w:tcW w:w="735" w:type="dxa"/>
            <w:vMerge w:val="restart"/>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Pr>
          <w:p w:rsidR="00430C79" w:rsidRPr="00F75113" w:rsidRDefault="00430C79" w:rsidP="00430C79">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 xml:space="preserve">No </w:t>
            </w:r>
          </w:p>
        </w:tc>
        <w:tc>
          <w:tcPr>
            <w:tcW w:w="1260" w:type="dxa"/>
            <w:tcBorders>
              <w:top w:val="single" w:sz="16" w:space="0" w:color="000000"/>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132</w:t>
            </w:r>
          </w:p>
        </w:tc>
        <w:tc>
          <w:tcPr>
            <w:tcW w:w="108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94.3</w:t>
            </w:r>
          </w:p>
        </w:tc>
        <w:tc>
          <w:tcPr>
            <w:tcW w:w="126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94.3</w:t>
            </w:r>
          </w:p>
        </w:tc>
        <w:tc>
          <w:tcPr>
            <w:tcW w:w="1260" w:type="dxa"/>
            <w:tcBorders>
              <w:top w:val="single" w:sz="16" w:space="0" w:color="000000"/>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94.3</w:t>
            </w:r>
          </w:p>
        </w:tc>
      </w:tr>
      <w:tr w:rsidR="00430C79"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Pr>
          <w:p w:rsidR="00430C79" w:rsidRPr="00F75113" w:rsidRDefault="00430C79" w:rsidP="00430C7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0" w:type="dxa"/>
            <w:tcBorders>
              <w:top w:val="nil"/>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8</w:t>
            </w:r>
          </w:p>
        </w:tc>
        <w:tc>
          <w:tcPr>
            <w:tcW w:w="108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5.7</w:t>
            </w:r>
          </w:p>
        </w:tc>
        <w:tc>
          <w:tcPr>
            <w:tcW w:w="126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5.7</w:t>
            </w:r>
          </w:p>
        </w:tc>
        <w:tc>
          <w:tcPr>
            <w:tcW w:w="1260" w:type="dxa"/>
            <w:tcBorders>
              <w:top w:val="nil"/>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r>
      <w:tr w:rsidR="00430C79"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Total</w:t>
            </w:r>
          </w:p>
        </w:tc>
        <w:tc>
          <w:tcPr>
            <w:tcW w:w="1260" w:type="dxa"/>
            <w:tcBorders>
              <w:top w:val="nil"/>
              <w:left w:val="single" w:sz="16" w:space="0" w:color="000000"/>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140</w:t>
            </w:r>
          </w:p>
        </w:tc>
        <w:tc>
          <w:tcPr>
            <w:tcW w:w="108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26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260" w:type="dxa"/>
            <w:tcBorders>
              <w:top w:val="nil"/>
              <w:bottom w:val="single" w:sz="16" w:space="0" w:color="000000"/>
              <w:right w:val="single" w:sz="16" w:space="0" w:color="000000"/>
            </w:tcBorders>
            <w:shd w:val="clear" w:color="auto" w:fill="FFFFFF"/>
            <w:vAlign w:val="center"/>
          </w:tcPr>
          <w:p w:rsidR="00430C79" w:rsidRPr="00F75113" w:rsidRDefault="00430C79" w:rsidP="00B0468D">
            <w:pPr>
              <w:autoSpaceDE w:val="0"/>
              <w:autoSpaceDN w:val="0"/>
              <w:adjustRightInd w:val="0"/>
              <w:spacing w:after="0" w:line="240" w:lineRule="auto"/>
              <w:jc w:val="center"/>
              <w:rPr>
                <w:rFonts w:cs="Times New Roman"/>
                <w:szCs w:val="24"/>
              </w:rPr>
            </w:pPr>
          </w:p>
        </w:tc>
      </w:tr>
    </w:tbl>
    <w:p w:rsidR="00430C79" w:rsidRDefault="00430C79" w:rsidP="00430C79">
      <w:pPr>
        <w:autoSpaceDE w:val="0"/>
        <w:autoSpaceDN w:val="0"/>
        <w:adjustRightInd w:val="0"/>
        <w:spacing w:after="0" w:line="400" w:lineRule="atLeast"/>
        <w:rPr>
          <w:rFonts w:cs="Times New Roman"/>
          <w:szCs w:val="24"/>
        </w:rPr>
      </w:pPr>
    </w:p>
    <w:tbl>
      <w:tblPr>
        <w:tblW w:w="6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5"/>
        <w:gridCol w:w="1260"/>
        <w:gridCol w:w="1080"/>
        <w:gridCol w:w="1260"/>
        <w:gridCol w:w="1260"/>
      </w:tblGrid>
      <w:tr w:rsidR="00430C79" w:rsidRPr="00430C79" w:rsidTr="00430C79">
        <w:tc>
          <w:tcPr>
            <w:tcW w:w="6480" w:type="dxa"/>
            <w:gridSpan w:val="6"/>
            <w:tcBorders>
              <w:top w:val="nil"/>
              <w:left w:val="nil"/>
              <w:bottom w:val="nil"/>
              <w:right w:val="nil"/>
            </w:tcBorders>
            <w:shd w:val="clear" w:color="auto" w:fill="FFFFFF"/>
            <w:vAlign w:val="center"/>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sidRPr="00430C79">
              <w:rPr>
                <w:rFonts w:ascii="Arial" w:hAnsi="Arial" w:cs="Arial"/>
                <w:b/>
                <w:bCs/>
                <w:color w:val="000000"/>
                <w:sz w:val="18"/>
                <w:szCs w:val="18"/>
              </w:rPr>
              <w:t>Table 11 : Prior non-DV Misdemeanor Charge-Kankakee County</w:t>
            </w:r>
          </w:p>
        </w:tc>
      </w:tr>
      <w:tr w:rsidR="00430C79" w:rsidRPr="00F75113" w:rsidTr="00430C79">
        <w:tc>
          <w:tcPr>
            <w:tcW w:w="16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30C79" w:rsidRPr="00430C79" w:rsidRDefault="00430C79" w:rsidP="00B0468D">
            <w:pPr>
              <w:autoSpaceDE w:val="0"/>
              <w:autoSpaceDN w:val="0"/>
              <w:adjustRightInd w:val="0"/>
              <w:spacing w:after="0" w:line="240" w:lineRule="auto"/>
              <w:jc w:val="center"/>
              <w:rPr>
                <w:rFonts w:cs="Times New Roman"/>
                <w:szCs w:val="24"/>
              </w:rPr>
            </w:pPr>
          </w:p>
        </w:tc>
        <w:tc>
          <w:tcPr>
            <w:tcW w:w="1260" w:type="dxa"/>
            <w:tcBorders>
              <w:top w:val="single" w:sz="16" w:space="0" w:color="000000"/>
              <w:left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Frequency</w:t>
            </w:r>
          </w:p>
        </w:tc>
        <w:tc>
          <w:tcPr>
            <w:tcW w:w="108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Percent</w:t>
            </w:r>
          </w:p>
        </w:tc>
        <w:tc>
          <w:tcPr>
            <w:tcW w:w="126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Valid Percent</w:t>
            </w:r>
          </w:p>
        </w:tc>
        <w:tc>
          <w:tcPr>
            <w:tcW w:w="1260" w:type="dxa"/>
            <w:tcBorders>
              <w:top w:val="single" w:sz="16" w:space="0" w:color="000000"/>
              <w:bottom w:val="single" w:sz="16" w:space="0" w:color="000000"/>
              <w:right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Cumulative Percent</w:t>
            </w:r>
          </w:p>
        </w:tc>
      </w:tr>
      <w:tr w:rsidR="00430C79" w:rsidRPr="00F75113" w:rsidTr="00430C79">
        <w:tc>
          <w:tcPr>
            <w:tcW w:w="735" w:type="dxa"/>
            <w:vMerge w:val="restart"/>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sidRPr="00430C79">
              <w:rPr>
                <w:rFonts w:ascii="Arial" w:hAnsi="Arial" w:cs="Arial"/>
                <w:color w:val="000000"/>
                <w:sz w:val="18"/>
                <w:szCs w:val="18"/>
              </w:rPr>
              <w:t xml:space="preserve">No </w:t>
            </w:r>
          </w:p>
        </w:tc>
        <w:tc>
          <w:tcPr>
            <w:tcW w:w="1260" w:type="dxa"/>
            <w:tcBorders>
              <w:top w:val="single" w:sz="16" w:space="0" w:color="000000"/>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118</w:t>
            </w:r>
          </w:p>
        </w:tc>
        <w:tc>
          <w:tcPr>
            <w:tcW w:w="108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84.3</w:t>
            </w:r>
          </w:p>
        </w:tc>
        <w:tc>
          <w:tcPr>
            <w:tcW w:w="126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84.3</w:t>
            </w:r>
          </w:p>
        </w:tc>
        <w:tc>
          <w:tcPr>
            <w:tcW w:w="1260" w:type="dxa"/>
            <w:tcBorders>
              <w:top w:val="single" w:sz="16" w:space="0" w:color="000000"/>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84.3</w:t>
            </w:r>
          </w:p>
        </w:tc>
      </w:tr>
      <w:tr w:rsidR="00430C79"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Pr>
          <w:p w:rsidR="00430C79" w:rsidRPr="00F75113" w:rsidRDefault="00430C79" w:rsidP="00430C7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0" w:type="dxa"/>
            <w:tcBorders>
              <w:top w:val="nil"/>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22</w:t>
            </w:r>
          </w:p>
        </w:tc>
        <w:tc>
          <w:tcPr>
            <w:tcW w:w="108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15.7</w:t>
            </w:r>
          </w:p>
        </w:tc>
        <w:tc>
          <w:tcPr>
            <w:tcW w:w="126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15.7</w:t>
            </w:r>
          </w:p>
        </w:tc>
        <w:tc>
          <w:tcPr>
            <w:tcW w:w="1260" w:type="dxa"/>
            <w:tcBorders>
              <w:top w:val="nil"/>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r>
      <w:tr w:rsidR="00430C79" w:rsidRPr="00F75113" w:rsidTr="00430C79">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Total</w:t>
            </w:r>
          </w:p>
        </w:tc>
        <w:tc>
          <w:tcPr>
            <w:tcW w:w="1260" w:type="dxa"/>
            <w:tcBorders>
              <w:top w:val="nil"/>
              <w:left w:val="single" w:sz="16" w:space="0" w:color="000000"/>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140</w:t>
            </w:r>
          </w:p>
        </w:tc>
        <w:tc>
          <w:tcPr>
            <w:tcW w:w="108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26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260" w:type="dxa"/>
            <w:tcBorders>
              <w:top w:val="nil"/>
              <w:bottom w:val="single" w:sz="16" w:space="0" w:color="000000"/>
              <w:right w:val="single" w:sz="16" w:space="0" w:color="000000"/>
            </w:tcBorders>
            <w:shd w:val="clear" w:color="auto" w:fill="FFFFFF"/>
            <w:vAlign w:val="center"/>
          </w:tcPr>
          <w:p w:rsidR="00430C79" w:rsidRPr="00F75113" w:rsidRDefault="00430C79" w:rsidP="00B0468D">
            <w:pPr>
              <w:autoSpaceDE w:val="0"/>
              <w:autoSpaceDN w:val="0"/>
              <w:adjustRightInd w:val="0"/>
              <w:spacing w:after="0" w:line="240" w:lineRule="auto"/>
              <w:jc w:val="center"/>
              <w:rPr>
                <w:rFonts w:cs="Times New Roman"/>
                <w:szCs w:val="24"/>
              </w:rPr>
            </w:pPr>
          </w:p>
        </w:tc>
      </w:tr>
    </w:tbl>
    <w:p w:rsidR="00430C79" w:rsidRPr="00F75113" w:rsidRDefault="00430C79" w:rsidP="00430C79">
      <w:pPr>
        <w:autoSpaceDE w:val="0"/>
        <w:autoSpaceDN w:val="0"/>
        <w:adjustRightInd w:val="0"/>
        <w:spacing w:after="0" w:line="400" w:lineRule="atLeast"/>
        <w:rPr>
          <w:rFonts w:cs="Times New Roman"/>
          <w:szCs w:val="24"/>
        </w:rPr>
      </w:pPr>
    </w:p>
    <w:tbl>
      <w:tblPr>
        <w:tblW w:w="6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5"/>
        <w:gridCol w:w="1260"/>
        <w:gridCol w:w="1080"/>
        <w:gridCol w:w="1260"/>
        <w:gridCol w:w="1260"/>
      </w:tblGrid>
      <w:tr w:rsidR="00430C79" w:rsidRPr="00430C79" w:rsidTr="0053598B">
        <w:tc>
          <w:tcPr>
            <w:tcW w:w="6480" w:type="dxa"/>
            <w:gridSpan w:val="6"/>
            <w:tcBorders>
              <w:top w:val="nil"/>
              <w:left w:val="nil"/>
              <w:bottom w:val="nil"/>
              <w:right w:val="nil"/>
            </w:tcBorders>
            <w:shd w:val="clear" w:color="auto" w:fill="FFFFFF"/>
            <w:vAlign w:val="center"/>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 xml:space="preserve">Table 12: </w:t>
            </w:r>
            <w:r w:rsidRPr="00430C79">
              <w:rPr>
                <w:rFonts w:ascii="Arial" w:hAnsi="Arial" w:cs="Arial"/>
                <w:b/>
                <w:bCs/>
                <w:color w:val="000000"/>
                <w:sz w:val="18"/>
                <w:szCs w:val="18"/>
              </w:rPr>
              <w:t>Prior non-DV Felony Charge</w:t>
            </w:r>
            <w:r>
              <w:rPr>
                <w:rFonts w:ascii="Arial" w:hAnsi="Arial" w:cs="Arial"/>
                <w:b/>
                <w:bCs/>
                <w:color w:val="000000"/>
                <w:sz w:val="18"/>
                <w:szCs w:val="18"/>
              </w:rPr>
              <w:t>-Kankakee County</w:t>
            </w:r>
          </w:p>
        </w:tc>
      </w:tr>
      <w:tr w:rsidR="00430C79" w:rsidRPr="00F75113" w:rsidTr="0053598B">
        <w:tc>
          <w:tcPr>
            <w:tcW w:w="16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30C79" w:rsidRPr="00430C79" w:rsidRDefault="00430C79" w:rsidP="00B0468D">
            <w:pPr>
              <w:autoSpaceDE w:val="0"/>
              <w:autoSpaceDN w:val="0"/>
              <w:adjustRightInd w:val="0"/>
              <w:spacing w:after="0" w:line="240" w:lineRule="auto"/>
              <w:jc w:val="center"/>
              <w:rPr>
                <w:rFonts w:cs="Times New Roman"/>
                <w:szCs w:val="24"/>
              </w:rPr>
            </w:pPr>
          </w:p>
        </w:tc>
        <w:tc>
          <w:tcPr>
            <w:tcW w:w="1260" w:type="dxa"/>
            <w:tcBorders>
              <w:top w:val="single" w:sz="16" w:space="0" w:color="000000"/>
              <w:left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Frequency</w:t>
            </w:r>
          </w:p>
        </w:tc>
        <w:tc>
          <w:tcPr>
            <w:tcW w:w="108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Percent</w:t>
            </w:r>
          </w:p>
        </w:tc>
        <w:tc>
          <w:tcPr>
            <w:tcW w:w="1260" w:type="dxa"/>
            <w:tcBorders>
              <w:top w:val="single" w:sz="16" w:space="0" w:color="000000"/>
              <w:bottom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Valid Percent</w:t>
            </w:r>
          </w:p>
        </w:tc>
        <w:tc>
          <w:tcPr>
            <w:tcW w:w="1260" w:type="dxa"/>
            <w:tcBorders>
              <w:top w:val="single" w:sz="16" w:space="0" w:color="000000"/>
              <w:bottom w:val="single" w:sz="16" w:space="0" w:color="000000"/>
              <w:right w:val="single" w:sz="16" w:space="0" w:color="000000"/>
            </w:tcBorders>
            <w:shd w:val="clear" w:color="auto" w:fill="FFFFFF"/>
            <w:vAlign w:val="bottom"/>
          </w:tcPr>
          <w:p w:rsidR="00430C79" w:rsidRPr="00F75113" w:rsidRDefault="00430C79" w:rsidP="00B0468D">
            <w:pPr>
              <w:autoSpaceDE w:val="0"/>
              <w:autoSpaceDN w:val="0"/>
              <w:adjustRightInd w:val="0"/>
              <w:spacing w:after="0" w:line="320" w:lineRule="atLeast"/>
              <w:ind w:left="60" w:right="60"/>
              <w:jc w:val="center"/>
              <w:rPr>
                <w:rFonts w:ascii="Arial" w:hAnsi="Arial" w:cs="Arial"/>
                <w:color w:val="000000"/>
                <w:sz w:val="18"/>
                <w:szCs w:val="18"/>
              </w:rPr>
            </w:pPr>
            <w:r w:rsidRPr="00F75113">
              <w:rPr>
                <w:rFonts w:ascii="Arial" w:hAnsi="Arial" w:cs="Arial"/>
                <w:color w:val="000000"/>
                <w:sz w:val="18"/>
                <w:szCs w:val="18"/>
              </w:rPr>
              <w:t>Cumulative Percent</w:t>
            </w:r>
          </w:p>
        </w:tc>
      </w:tr>
      <w:tr w:rsidR="00430C79" w:rsidRPr="00F75113" w:rsidTr="0053598B">
        <w:tc>
          <w:tcPr>
            <w:tcW w:w="735" w:type="dxa"/>
            <w:vMerge w:val="restart"/>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sidRPr="00430C79">
              <w:rPr>
                <w:rFonts w:ascii="Arial" w:hAnsi="Arial" w:cs="Arial"/>
                <w:color w:val="000000"/>
                <w:sz w:val="18"/>
                <w:szCs w:val="18"/>
              </w:rPr>
              <w:t>No</w:t>
            </w:r>
          </w:p>
        </w:tc>
        <w:tc>
          <w:tcPr>
            <w:tcW w:w="1260" w:type="dxa"/>
            <w:tcBorders>
              <w:top w:val="single" w:sz="16" w:space="0" w:color="000000"/>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137</w:t>
            </w:r>
          </w:p>
        </w:tc>
        <w:tc>
          <w:tcPr>
            <w:tcW w:w="108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97.9</w:t>
            </w:r>
          </w:p>
        </w:tc>
        <w:tc>
          <w:tcPr>
            <w:tcW w:w="1260" w:type="dxa"/>
            <w:tcBorders>
              <w:top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97.9</w:t>
            </w:r>
          </w:p>
        </w:tc>
        <w:tc>
          <w:tcPr>
            <w:tcW w:w="1260" w:type="dxa"/>
            <w:tcBorders>
              <w:top w:val="single" w:sz="16" w:space="0" w:color="000000"/>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97.9</w:t>
            </w:r>
          </w:p>
        </w:tc>
      </w:tr>
      <w:tr w:rsidR="00430C79" w:rsidRPr="00F75113" w:rsidTr="0053598B">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Pr>
          <w:p w:rsidR="00430C79" w:rsidRPr="00430C79" w:rsidRDefault="00430C79" w:rsidP="00430C7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Yes </w:t>
            </w:r>
          </w:p>
        </w:tc>
        <w:tc>
          <w:tcPr>
            <w:tcW w:w="1260" w:type="dxa"/>
            <w:tcBorders>
              <w:top w:val="nil"/>
              <w:left w:val="single" w:sz="16" w:space="0" w:color="000000"/>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3</w:t>
            </w:r>
          </w:p>
        </w:tc>
        <w:tc>
          <w:tcPr>
            <w:tcW w:w="108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2.1</w:t>
            </w:r>
          </w:p>
        </w:tc>
        <w:tc>
          <w:tcPr>
            <w:tcW w:w="1260" w:type="dxa"/>
            <w:tcBorders>
              <w:top w:val="nil"/>
              <w:bottom w:val="nil"/>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2.1</w:t>
            </w:r>
          </w:p>
        </w:tc>
        <w:tc>
          <w:tcPr>
            <w:tcW w:w="1260" w:type="dxa"/>
            <w:tcBorders>
              <w:top w:val="nil"/>
              <w:bottom w:val="nil"/>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r>
      <w:tr w:rsidR="00430C79" w:rsidRPr="00F75113" w:rsidTr="0053598B">
        <w:tc>
          <w:tcPr>
            <w:tcW w:w="735" w:type="dxa"/>
            <w:vMerge/>
            <w:tcBorders>
              <w:top w:val="single" w:sz="16" w:space="0" w:color="000000"/>
              <w:left w:val="single" w:sz="16" w:space="0" w:color="000000"/>
              <w:bottom w:val="single" w:sz="16" w:space="0" w:color="000000"/>
              <w:right w:val="nil"/>
            </w:tcBorders>
            <w:shd w:val="clear" w:color="auto" w:fill="FFFFFF"/>
          </w:tcPr>
          <w:p w:rsidR="00430C79" w:rsidRPr="00F75113" w:rsidRDefault="00430C79" w:rsidP="00B0468D">
            <w:pPr>
              <w:autoSpaceDE w:val="0"/>
              <w:autoSpaceDN w:val="0"/>
              <w:adjustRightInd w:val="0"/>
              <w:spacing w:after="0" w:line="240" w:lineRule="auto"/>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rPr>
                <w:rFonts w:ascii="Arial" w:hAnsi="Arial" w:cs="Arial"/>
                <w:color w:val="000000"/>
                <w:sz w:val="18"/>
                <w:szCs w:val="18"/>
              </w:rPr>
            </w:pPr>
            <w:r w:rsidRPr="00F75113">
              <w:rPr>
                <w:rFonts w:ascii="Arial" w:hAnsi="Arial" w:cs="Arial"/>
                <w:color w:val="000000"/>
                <w:sz w:val="18"/>
                <w:szCs w:val="18"/>
              </w:rPr>
              <w:t>Total</w:t>
            </w:r>
          </w:p>
        </w:tc>
        <w:tc>
          <w:tcPr>
            <w:tcW w:w="1260" w:type="dxa"/>
            <w:tcBorders>
              <w:top w:val="nil"/>
              <w:left w:val="single" w:sz="16" w:space="0" w:color="000000"/>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140</w:t>
            </w:r>
          </w:p>
        </w:tc>
        <w:tc>
          <w:tcPr>
            <w:tcW w:w="108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260" w:type="dxa"/>
            <w:tcBorders>
              <w:top w:val="nil"/>
              <w:bottom w:val="single" w:sz="16" w:space="0" w:color="000000"/>
            </w:tcBorders>
            <w:shd w:val="clear" w:color="auto" w:fill="FFFFFF"/>
          </w:tcPr>
          <w:p w:rsidR="00430C79" w:rsidRPr="00F75113" w:rsidRDefault="00430C79" w:rsidP="00B0468D">
            <w:pPr>
              <w:autoSpaceDE w:val="0"/>
              <w:autoSpaceDN w:val="0"/>
              <w:adjustRightInd w:val="0"/>
              <w:spacing w:after="0" w:line="320" w:lineRule="atLeast"/>
              <w:ind w:left="60" w:right="60"/>
              <w:jc w:val="right"/>
              <w:rPr>
                <w:rFonts w:ascii="Arial" w:hAnsi="Arial" w:cs="Arial"/>
                <w:color w:val="000000"/>
                <w:sz w:val="18"/>
                <w:szCs w:val="18"/>
              </w:rPr>
            </w:pPr>
            <w:r w:rsidRPr="00F75113">
              <w:rPr>
                <w:rFonts w:ascii="Arial" w:hAnsi="Arial" w:cs="Arial"/>
                <w:color w:val="000000"/>
                <w:sz w:val="18"/>
                <w:szCs w:val="18"/>
              </w:rPr>
              <w:t>100.0</w:t>
            </w:r>
          </w:p>
        </w:tc>
        <w:tc>
          <w:tcPr>
            <w:tcW w:w="1260" w:type="dxa"/>
            <w:tcBorders>
              <w:top w:val="nil"/>
              <w:bottom w:val="single" w:sz="16" w:space="0" w:color="000000"/>
              <w:right w:val="single" w:sz="16" w:space="0" w:color="000000"/>
            </w:tcBorders>
            <w:shd w:val="clear" w:color="auto" w:fill="FFFFFF"/>
            <w:vAlign w:val="center"/>
          </w:tcPr>
          <w:p w:rsidR="00430C79" w:rsidRPr="00F75113" w:rsidRDefault="00430C79" w:rsidP="00B0468D">
            <w:pPr>
              <w:autoSpaceDE w:val="0"/>
              <w:autoSpaceDN w:val="0"/>
              <w:adjustRightInd w:val="0"/>
              <w:spacing w:after="0" w:line="240" w:lineRule="auto"/>
              <w:jc w:val="center"/>
              <w:rPr>
                <w:rFonts w:cs="Times New Roman"/>
                <w:szCs w:val="24"/>
              </w:rPr>
            </w:pPr>
          </w:p>
        </w:tc>
      </w:tr>
    </w:tbl>
    <w:p w:rsidR="00430C79" w:rsidRDefault="00430C79" w:rsidP="00430C79">
      <w:pPr>
        <w:autoSpaceDE w:val="0"/>
        <w:autoSpaceDN w:val="0"/>
        <w:adjustRightInd w:val="0"/>
        <w:spacing w:after="0" w:line="400" w:lineRule="atLeast"/>
        <w:rPr>
          <w:rFonts w:cs="Times New Roman"/>
          <w:szCs w:val="24"/>
        </w:rPr>
      </w:pPr>
    </w:p>
    <w:p w:rsidR="0053598B" w:rsidRPr="0053598B" w:rsidRDefault="0053598B" w:rsidP="00EF5C80">
      <w:pPr>
        <w:autoSpaceDE w:val="0"/>
        <w:autoSpaceDN w:val="0"/>
        <w:adjustRightInd w:val="0"/>
        <w:spacing w:after="0" w:line="480" w:lineRule="auto"/>
        <w:rPr>
          <w:rFonts w:cs="Times New Roman"/>
          <w:b/>
          <w:szCs w:val="24"/>
        </w:rPr>
      </w:pPr>
      <w:r w:rsidRPr="0053598B">
        <w:rPr>
          <w:rFonts w:cs="Times New Roman"/>
          <w:b/>
          <w:szCs w:val="24"/>
        </w:rPr>
        <w:t>RECIDIVISM RATES</w:t>
      </w:r>
    </w:p>
    <w:p w:rsidR="00430C79" w:rsidRDefault="0053598B" w:rsidP="00EF5C80">
      <w:pPr>
        <w:autoSpaceDE w:val="0"/>
        <w:autoSpaceDN w:val="0"/>
        <w:adjustRightInd w:val="0"/>
        <w:spacing w:after="0" w:line="480" w:lineRule="auto"/>
        <w:ind w:firstLine="720"/>
        <w:rPr>
          <w:rFonts w:cs="Times New Roman"/>
          <w:szCs w:val="24"/>
        </w:rPr>
      </w:pPr>
      <w:r w:rsidRPr="0053598B">
        <w:rPr>
          <w:rFonts w:cs="Times New Roman"/>
          <w:szCs w:val="24"/>
        </w:rPr>
        <w:t xml:space="preserve">Court-ordered DV treatment is imposed to rehabilitate. </w:t>
      </w:r>
      <w:r>
        <w:rPr>
          <w:rFonts w:cs="Times New Roman"/>
          <w:szCs w:val="24"/>
        </w:rPr>
        <w:t xml:space="preserve">Recidivism rates are a traditional method of examining the effectiveness of treatment, diversion or just regular treatment. At the time of my data collection, </w:t>
      </w:r>
      <w:r w:rsidR="003B4115">
        <w:rPr>
          <w:rFonts w:cs="Times New Roman"/>
          <w:szCs w:val="24"/>
        </w:rPr>
        <w:t xml:space="preserve">5.7% of defendants in McLean County were charged with a subsequent DV charge while 3.9% in Kankakee were charged with a subsequent DV charge. 7.7% of females and 2.9% of males were charged with a subsequent DV charge in McLean County and 0% of females and 7% of males were charged with a subsequent DV charge in Kankakee County. 16 defendants in McLean County had a prior alcohol charge but none had a subsequent DV charge. 8 defendants in Kankakee County had a prior alcohol charge and 1 had a subsequent DV charge. 0% </w:t>
      </w:r>
      <w:proofErr w:type="gramStart"/>
      <w:r w:rsidR="003B4115">
        <w:rPr>
          <w:rFonts w:cs="Times New Roman"/>
          <w:szCs w:val="24"/>
        </w:rPr>
        <w:t>were</w:t>
      </w:r>
      <w:proofErr w:type="gramEnd"/>
      <w:r w:rsidR="003B4115">
        <w:rPr>
          <w:rFonts w:cs="Times New Roman"/>
          <w:szCs w:val="24"/>
        </w:rPr>
        <w:t xml:space="preserve"> charged with a prior DV charge in both McLean and Kankakee County. Out of 32 defendants in McLean County with a prior non-DV misdemeanor charge, only 1 had a subsequent DV charge. Out of 22 defendants in Kankakee County with a prior non-DV misdemeanor charge, only 3 were charged with a subsequent DV charge. Out of 96 in McLean County with no prior non-DV misdemeanor, only 4 had a subsequent DV charge. Out of 118 with no prior non-DV misdemeanor in Kankakee</w:t>
      </w:r>
      <w:r w:rsidR="00EF5C80">
        <w:rPr>
          <w:rFonts w:cs="Times New Roman"/>
          <w:szCs w:val="24"/>
        </w:rPr>
        <w:t xml:space="preserve"> County, only 5 had a subsequent DV charge. 3 defendants in McLean County had prior non-DV felony and only 1 with a subsequent DV charge. 3 defendants in Kankakee County had a prior non-DV felony and 0 had a subsequent DV charge. Out of 125 with no prior non-DV felony in McLean, only 4 had a subsequent DV charge. Out of 137 in Kankakee County with no prior non-DV felony, only 8 had a subsequent DV charge. </w:t>
      </w:r>
      <w:r w:rsidR="004B0A59">
        <w:rPr>
          <w:rFonts w:cs="Times New Roman"/>
          <w:szCs w:val="24"/>
        </w:rPr>
        <w:t xml:space="preserve"> </w:t>
      </w:r>
    </w:p>
    <w:p w:rsidR="00B32712" w:rsidRPr="00B32712" w:rsidRDefault="00B32712" w:rsidP="00430C79">
      <w:pPr>
        <w:autoSpaceDE w:val="0"/>
        <w:autoSpaceDN w:val="0"/>
        <w:adjustRightInd w:val="0"/>
        <w:spacing w:after="0" w:line="400" w:lineRule="atLeast"/>
        <w:rPr>
          <w:rFonts w:cs="Times New Roman"/>
          <w:szCs w:val="24"/>
        </w:rPr>
      </w:pPr>
    </w:p>
    <w:p w:rsidR="00B96310" w:rsidRPr="00EF5C80" w:rsidRDefault="004B0A59" w:rsidP="00EF5C80">
      <w:pPr>
        <w:autoSpaceDE w:val="0"/>
        <w:autoSpaceDN w:val="0"/>
        <w:adjustRightInd w:val="0"/>
        <w:spacing w:line="480" w:lineRule="auto"/>
        <w:ind w:firstLine="720"/>
      </w:pPr>
      <w:r>
        <w:rPr>
          <w:rFonts w:cs="Times New Roman"/>
          <w:szCs w:val="24"/>
        </w:rPr>
        <w:t>From the close relation</w:t>
      </w:r>
      <w:r w:rsidR="008A53C4">
        <w:rPr>
          <w:rFonts w:cs="Times New Roman"/>
          <w:szCs w:val="24"/>
        </w:rPr>
        <w:t>ship</w:t>
      </w:r>
      <w:r>
        <w:rPr>
          <w:rFonts w:cs="Times New Roman"/>
          <w:szCs w:val="24"/>
        </w:rPr>
        <w:t xml:space="preserve"> </w:t>
      </w:r>
      <w:r w:rsidR="008A53C4">
        <w:rPr>
          <w:rFonts w:cs="Times New Roman"/>
          <w:szCs w:val="24"/>
        </w:rPr>
        <w:t>between</w:t>
      </w:r>
      <w:r>
        <w:rPr>
          <w:rFonts w:cs="Times New Roman"/>
          <w:szCs w:val="24"/>
        </w:rPr>
        <w:t xml:space="preserve"> the Kankakee County data to the McLean County data, we can conclude that the effectiveness of the Diversion program is related to the factors used to screen the applicants for diversion, and not the dismissal of the DV charge. </w:t>
      </w:r>
      <w:r w:rsidR="00AA29DA" w:rsidRPr="00EF5C80">
        <w:t xml:space="preserve">Those convicted in Kankakee County have virtually the same recidivism rates as those convicted in McLean County. </w:t>
      </w:r>
    </w:p>
    <w:p w:rsidR="004B0A59" w:rsidRDefault="004B0A59" w:rsidP="00EF5C80">
      <w:pPr>
        <w:autoSpaceDE w:val="0"/>
        <w:autoSpaceDN w:val="0"/>
        <w:adjustRightInd w:val="0"/>
        <w:spacing w:after="0" w:line="480" w:lineRule="auto"/>
        <w:ind w:firstLine="720"/>
        <w:rPr>
          <w:rFonts w:cs="Times New Roman"/>
          <w:szCs w:val="24"/>
        </w:rPr>
      </w:pPr>
    </w:p>
    <w:p w:rsidR="00D033FB" w:rsidRPr="002119F8" w:rsidRDefault="00D033FB" w:rsidP="00D033FB">
      <w:pPr>
        <w:autoSpaceDE w:val="0"/>
        <w:autoSpaceDN w:val="0"/>
        <w:adjustRightInd w:val="0"/>
        <w:spacing w:after="0" w:line="240" w:lineRule="auto"/>
      </w:pPr>
      <w:r>
        <w:tab/>
      </w:r>
    </w:p>
    <w:sectPr w:rsidR="00D033FB" w:rsidRPr="002119F8" w:rsidSect="00882E7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78" w:rsidRDefault="00882E78" w:rsidP="00882E78">
      <w:pPr>
        <w:spacing w:after="0" w:line="240" w:lineRule="auto"/>
      </w:pPr>
      <w:r>
        <w:separator/>
      </w:r>
    </w:p>
  </w:endnote>
  <w:endnote w:type="continuationSeparator" w:id="0">
    <w:p w:rsidR="00882E78" w:rsidRDefault="00882E78" w:rsidP="0088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78" w:rsidRDefault="00882E78" w:rsidP="00AA29D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78" w:rsidRDefault="00882E78">
    <w:pPr>
      <w:pStyle w:val="Footer"/>
      <w:jc w:val="right"/>
    </w:pPr>
  </w:p>
  <w:p w:rsidR="00882E78" w:rsidRDefault="00882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78" w:rsidRDefault="00882E78" w:rsidP="00882E78">
      <w:pPr>
        <w:spacing w:after="0" w:line="240" w:lineRule="auto"/>
      </w:pPr>
      <w:r>
        <w:separator/>
      </w:r>
    </w:p>
  </w:footnote>
  <w:footnote w:type="continuationSeparator" w:id="0">
    <w:p w:rsidR="00882E78" w:rsidRDefault="00882E78" w:rsidP="00882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78" w:rsidRDefault="00882E78">
    <w:pPr>
      <w:pStyle w:val="Header"/>
    </w:pPr>
  </w:p>
  <w:p w:rsidR="00882E78" w:rsidRDefault="0088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78" w:rsidRDefault="00882E78" w:rsidP="00882E78">
    <w:pPr>
      <w:pStyle w:val="Header"/>
      <w:jc w:val="right"/>
    </w:pPr>
    <w:r>
      <w:t>Adrienne Anderson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7860"/>
    <w:multiLevelType w:val="hybridMultilevel"/>
    <w:tmpl w:val="26446D86"/>
    <w:lvl w:ilvl="0" w:tplc="2264B120">
      <w:start w:val="1"/>
      <w:numFmt w:val="bullet"/>
      <w:lvlText w:val=""/>
      <w:lvlJc w:val="left"/>
      <w:pPr>
        <w:tabs>
          <w:tab w:val="num" w:pos="720"/>
        </w:tabs>
        <w:ind w:left="720" w:hanging="360"/>
      </w:pPr>
      <w:rPr>
        <w:rFonts w:ascii="Wingdings" w:hAnsi="Wingdings" w:hint="default"/>
      </w:rPr>
    </w:lvl>
    <w:lvl w:ilvl="1" w:tplc="B15EF0FE">
      <w:start w:val="1"/>
      <w:numFmt w:val="bullet"/>
      <w:lvlText w:val=""/>
      <w:lvlJc w:val="left"/>
      <w:pPr>
        <w:tabs>
          <w:tab w:val="num" w:pos="1440"/>
        </w:tabs>
        <w:ind w:left="1440" w:hanging="360"/>
      </w:pPr>
      <w:rPr>
        <w:rFonts w:ascii="Wingdings" w:hAnsi="Wingdings" w:hint="default"/>
      </w:rPr>
    </w:lvl>
    <w:lvl w:ilvl="2" w:tplc="F0E4139A" w:tentative="1">
      <w:start w:val="1"/>
      <w:numFmt w:val="bullet"/>
      <w:lvlText w:val=""/>
      <w:lvlJc w:val="left"/>
      <w:pPr>
        <w:tabs>
          <w:tab w:val="num" w:pos="2160"/>
        </w:tabs>
        <w:ind w:left="2160" w:hanging="360"/>
      </w:pPr>
      <w:rPr>
        <w:rFonts w:ascii="Wingdings" w:hAnsi="Wingdings" w:hint="default"/>
      </w:rPr>
    </w:lvl>
    <w:lvl w:ilvl="3" w:tplc="69D6D37A" w:tentative="1">
      <w:start w:val="1"/>
      <w:numFmt w:val="bullet"/>
      <w:lvlText w:val=""/>
      <w:lvlJc w:val="left"/>
      <w:pPr>
        <w:tabs>
          <w:tab w:val="num" w:pos="2880"/>
        </w:tabs>
        <w:ind w:left="2880" w:hanging="360"/>
      </w:pPr>
      <w:rPr>
        <w:rFonts w:ascii="Wingdings" w:hAnsi="Wingdings" w:hint="default"/>
      </w:rPr>
    </w:lvl>
    <w:lvl w:ilvl="4" w:tplc="9BE04A14" w:tentative="1">
      <w:start w:val="1"/>
      <w:numFmt w:val="bullet"/>
      <w:lvlText w:val=""/>
      <w:lvlJc w:val="left"/>
      <w:pPr>
        <w:tabs>
          <w:tab w:val="num" w:pos="3600"/>
        </w:tabs>
        <w:ind w:left="3600" w:hanging="360"/>
      </w:pPr>
      <w:rPr>
        <w:rFonts w:ascii="Wingdings" w:hAnsi="Wingdings" w:hint="default"/>
      </w:rPr>
    </w:lvl>
    <w:lvl w:ilvl="5" w:tplc="706EC4A8" w:tentative="1">
      <w:start w:val="1"/>
      <w:numFmt w:val="bullet"/>
      <w:lvlText w:val=""/>
      <w:lvlJc w:val="left"/>
      <w:pPr>
        <w:tabs>
          <w:tab w:val="num" w:pos="4320"/>
        </w:tabs>
        <w:ind w:left="4320" w:hanging="360"/>
      </w:pPr>
      <w:rPr>
        <w:rFonts w:ascii="Wingdings" w:hAnsi="Wingdings" w:hint="default"/>
      </w:rPr>
    </w:lvl>
    <w:lvl w:ilvl="6" w:tplc="E78C84E6" w:tentative="1">
      <w:start w:val="1"/>
      <w:numFmt w:val="bullet"/>
      <w:lvlText w:val=""/>
      <w:lvlJc w:val="left"/>
      <w:pPr>
        <w:tabs>
          <w:tab w:val="num" w:pos="5040"/>
        </w:tabs>
        <w:ind w:left="5040" w:hanging="360"/>
      </w:pPr>
      <w:rPr>
        <w:rFonts w:ascii="Wingdings" w:hAnsi="Wingdings" w:hint="default"/>
      </w:rPr>
    </w:lvl>
    <w:lvl w:ilvl="7" w:tplc="07E05BA0" w:tentative="1">
      <w:start w:val="1"/>
      <w:numFmt w:val="bullet"/>
      <w:lvlText w:val=""/>
      <w:lvlJc w:val="left"/>
      <w:pPr>
        <w:tabs>
          <w:tab w:val="num" w:pos="5760"/>
        </w:tabs>
        <w:ind w:left="5760" w:hanging="360"/>
      </w:pPr>
      <w:rPr>
        <w:rFonts w:ascii="Wingdings" w:hAnsi="Wingdings" w:hint="default"/>
      </w:rPr>
    </w:lvl>
    <w:lvl w:ilvl="8" w:tplc="8ABCC9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61"/>
    <w:rsid w:val="000170D5"/>
    <w:rsid w:val="00095022"/>
    <w:rsid w:val="002119F8"/>
    <w:rsid w:val="002B0134"/>
    <w:rsid w:val="003A5F7A"/>
    <w:rsid w:val="003B4115"/>
    <w:rsid w:val="003D11E4"/>
    <w:rsid w:val="00430C79"/>
    <w:rsid w:val="0045637A"/>
    <w:rsid w:val="004B0A59"/>
    <w:rsid w:val="0053598B"/>
    <w:rsid w:val="0054066A"/>
    <w:rsid w:val="0054700C"/>
    <w:rsid w:val="005704D2"/>
    <w:rsid w:val="00882E78"/>
    <w:rsid w:val="008A1929"/>
    <w:rsid w:val="008A53C4"/>
    <w:rsid w:val="008E2061"/>
    <w:rsid w:val="009727EC"/>
    <w:rsid w:val="009A30EF"/>
    <w:rsid w:val="009A644D"/>
    <w:rsid w:val="00AA29DA"/>
    <w:rsid w:val="00B0468D"/>
    <w:rsid w:val="00B218E6"/>
    <w:rsid w:val="00B32712"/>
    <w:rsid w:val="00B473CD"/>
    <w:rsid w:val="00B96310"/>
    <w:rsid w:val="00BB353D"/>
    <w:rsid w:val="00BF68D2"/>
    <w:rsid w:val="00CF35BF"/>
    <w:rsid w:val="00D033FB"/>
    <w:rsid w:val="00D1756D"/>
    <w:rsid w:val="00D52E79"/>
    <w:rsid w:val="00D85D68"/>
    <w:rsid w:val="00D951FA"/>
    <w:rsid w:val="00E01F24"/>
    <w:rsid w:val="00E45228"/>
    <w:rsid w:val="00EE258B"/>
    <w:rsid w:val="00EF5C80"/>
    <w:rsid w:val="00F351BD"/>
    <w:rsid w:val="00F431C0"/>
    <w:rsid w:val="00F738A4"/>
    <w:rsid w:val="00F91EAC"/>
    <w:rsid w:val="00FD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28"/>
    <w:rPr>
      <w:rFonts w:ascii="Tahoma" w:hAnsi="Tahoma" w:cs="Tahoma"/>
      <w:sz w:val="16"/>
      <w:szCs w:val="16"/>
      <w:lang w:val="fr-FR"/>
    </w:rPr>
  </w:style>
  <w:style w:type="paragraph" w:styleId="ListParagraph">
    <w:name w:val="List Paragraph"/>
    <w:basedOn w:val="Normal"/>
    <w:uiPriority w:val="34"/>
    <w:qFormat/>
    <w:rsid w:val="00EF5C80"/>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88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E78"/>
  </w:style>
  <w:style w:type="paragraph" w:styleId="Footer">
    <w:name w:val="footer"/>
    <w:basedOn w:val="Normal"/>
    <w:link w:val="FooterChar"/>
    <w:uiPriority w:val="99"/>
    <w:unhideWhenUsed/>
    <w:rsid w:val="0088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28"/>
    <w:rPr>
      <w:rFonts w:ascii="Tahoma" w:hAnsi="Tahoma" w:cs="Tahoma"/>
      <w:sz w:val="16"/>
      <w:szCs w:val="16"/>
      <w:lang w:val="fr-FR"/>
    </w:rPr>
  </w:style>
  <w:style w:type="paragraph" w:styleId="ListParagraph">
    <w:name w:val="List Paragraph"/>
    <w:basedOn w:val="Normal"/>
    <w:uiPriority w:val="34"/>
    <w:qFormat/>
    <w:rsid w:val="00EF5C80"/>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88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E78"/>
  </w:style>
  <w:style w:type="paragraph" w:styleId="Footer">
    <w:name w:val="footer"/>
    <w:basedOn w:val="Normal"/>
    <w:link w:val="FooterChar"/>
    <w:uiPriority w:val="99"/>
    <w:unhideWhenUsed/>
    <w:rsid w:val="0088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55406">
      <w:bodyDiv w:val="1"/>
      <w:marLeft w:val="0"/>
      <w:marRight w:val="0"/>
      <w:marTop w:val="0"/>
      <w:marBottom w:val="0"/>
      <w:divBdr>
        <w:top w:val="none" w:sz="0" w:space="0" w:color="auto"/>
        <w:left w:val="none" w:sz="0" w:space="0" w:color="auto"/>
        <w:bottom w:val="none" w:sz="0" w:space="0" w:color="auto"/>
        <w:right w:val="none" w:sz="0" w:space="0" w:color="auto"/>
      </w:divBdr>
    </w:div>
    <w:div w:id="637149235">
      <w:bodyDiv w:val="1"/>
      <w:marLeft w:val="0"/>
      <w:marRight w:val="0"/>
      <w:marTop w:val="0"/>
      <w:marBottom w:val="0"/>
      <w:divBdr>
        <w:top w:val="none" w:sz="0" w:space="0" w:color="auto"/>
        <w:left w:val="none" w:sz="0" w:space="0" w:color="auto"/>
        <w:bottom w:val="none" w:sz="0" w:space="0" w:color="auto"/>
        <w:right w:val="none" w:sz="0" w:space="0" w:color="auto"/>
      </w:divBdr>
    </w:div>
    <w:div w:id="1028334464">
      <w:bodyDiv w:val="1"/>
      <w:marLeft w:val="0"/>
      <w:marRight w:val="0"/>
      <w:marTop w:val="0"/>
      <w:marBottom w:val="0"/>
      <w:divBdr>
        <w:top w:val="none" w:sz="0" w:space="0" w:color="auto"/>
        <w:left w:val="none" w:sz="0" w:space="0" w:color="auto"/>
        <w:bottom w:val="none" w:sz="0" w:space="0" w:color="auto"/>
        <w:right w:val="none" w:sz="0" w:space="0" w:color="auto"/>
      </w:divBdr>
      <w:divsChild>
        <w:div w:id="1263142904">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Klass, Gary</cp:lastModifiedBy>
  <cp:revision>2</cp:revision>
  <dcterms:created xsi:type="dcterms:W3CDTF">2012-04-13T19:21:00Z</dcterms:created>
  <dcterms:modified xsi:type="dcterms:W3CDTF">2012-04-13T19:21:00Z</dcterms:modified>
</cp:coreProperties>
</file>